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eastAsia="宋体"/>
          <w:sz w:val="84"/>
          <w:lang w:eastAsia="zh-CN"/>
        </w:rPr>
      </w:pPr>
      <w:r>
        <w:rPr>
          <w:rFonts w:hint="eastAsia"/>
          <w:sz w:val="84"/>
          <w:lang w:val="en-US" w:eastAsia="zh-CN"/>
        </w:rPr>
        <w:t xml:space="preserve">         </w:t>
      </w:r>
      <w:r>
        <w:rPr>
          <w:rFonts w:hint="eastAsia" w:eastAsia="宋体"/>
          <w:sz w:val="84"/>
          <w:lang w:eastAsia="zh-CN"/>
        </w:rPr>
        <w:drawing>
          <wp:inline distT="0" distB="0" distL="114300" distR="114300">
            <wp:extent cx="802640" cy="647065"/>
            <wp:effectExtent l="0" t="0" r="16510" b="635"/>
            <wp:docPr id="5" name="图片 6" descr="f3d5e7df6e3401de20abcaa91092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f3d5e7df6e3401de20abcaa91092faa"/>
                    <pic:cNvPicPr>
                      <a:picLocks noChangeAspect="1"/>
                    </pic:cNvPicPr>
                  </pic:nvPicPr>
                  <pic:blipFill>
                    <a:blip r:embed="rId4"/>
                    <a:stretch>
                      <a:fillRect/>
                    </a:stretch>
                  </pic:blipFill>
                  <pic:spPr>
                    <a:xfrm>
                      <a:off x="0" y="0"/>
                      <a:ext cx="802640" cy="647065"/>
                    </a:xfrm>
                    <a:prstGeom prst="rect">
                      <a:avLst/>
                    </a:prstGeom>
                    <a:noFill/>
                    <a:ln>
                      <a:noFill/>
                    </a:ln>
                  </pic:spPr>
                </pic:pic>
              </a:graphicData>
            </a:graphic>
          </wp:inline>
        </w:drawing>
      </w:r>
    </w:p>
    <w:p>
      <w:pPr>
        <w:spacing w:line="700" w:lineRule="exact"/>
        <w:jc w:val="center"/>
        <w:rPr>
          <w:rFonts w:hint="eastAsia"/>
          <w:b/>
          <w:sz w:val="48"/>
        </w:rPr>
      </w:pPr>
      <w:r>
        <w:rPr>
          <w:rFonts w:hint="eastAsia"/>
          <w:b/>
          <w:sz w:val="48"/>
          <w:lang w:eastAsia="zh-CN"/>
        </w:rPr>
        <w:t>氟碳铝板</w:t>
      </w:r>
      <w:r>
        <w:rPr>
          <w:rFonts w:hint="eastAsia"/>
          <w:b/>
          <w:sz w:val="48"/>
        </w:rPr>
        <w:t>采购招标</w:t>
      </w:r>
    </w:p>
    <w:p>
      <w:pPr>
        <w:spacing w:line="700" w:lineRule="exact"/>
        <w:rPr>
          <w:rFonts w:hint="eastAsia"/>
          <w:b/>
          <w:sz w:val="36"/>
        </w:rPr>
      </w:pPr>
    </w:p>
    <w:p>
      <w:pPr>
        <w:spacing w:line="700" w:lineRule="exact"/>
        <w:jc w:val="center"/>
        <w:rPr>
          <w:rFonts w:hint="eastAsia"/>
          <w:b/>
          <w:sz w:val="48"/>
        </w:rPr>
      </w:pPr>
      <w:r>
        <w:rPr>
          <w:rFonts w:hint="eastAsia"/>
          <w:b/>
          <w:sz w:val="48"/>
        </w:rPr>
        <w:t>邀</w:t>
      </w:r>
    </w:p>
    <w:p>
      <w:pPr>
        <w:spacing w:line="700" w:lineRule="exact"/>
        <w:jc w:val="center"/>
        <w:rPr>
          <w:rFonts w:hint="eastAsia"/>
          <w:b/>
          <w:sz w:val="48"/>
        </w:rPr>
      </w:pPr>
    </w:p>
    <w:p>
      <w:pPr>
        <w:spacing w:line="700" w:lineRule="exact"/>
        <w:jc w:val="center"/>
        <w:rPr>
          <w:rFonts w:hint="eastAsia"/>
          <w:b/>
          <w:sz w:val="48"/>
        </w:rPr>
      </w:pPr>
      <w:r>
        <w:rPr>
          <w:rFonts w:hint="eastAsia"/>
          <w:b/>
          <w:sz w:val="48"/>
        </w:rPr>
        <w:t>请</w:t>
      </w:r>
    </w:p>
    <w:p>
      <w:pPr>
        <w:spacing w:line="700" w:lineRule="exact"/>
        <w:jc w:val="center"/>
        <w:rPr>
          <w:rFonts w:hint="eastAsia"/>
          <w:b/>
          <w:sz w:val="48"/>
        </w:rPr>
      </w:pPr>
    </w:p>
    <w:p>
      <w:pPr>
        <w:spacing w:line="700" w:lineRule="exact"/>
        <w:jc w:val="center"/>
        <w:rPr>
          <w:rFonts w:hint="eastAsia"/>
          <w:b/>
          <w:sz w:val="36"/>
        </w:rPr>
      </w:pPr>
      <w:r>
        <w:rPr>
          <w:rFonts w:hint="eastAsia"/>
          <w:b/>
          <w:sz w:val="48"/>
        </w:rPr>
        <w:t>函</w:t>
      </w:r>
    </w:p>
    <w:p>
      <w:pPr>
        <w:spacing w:line="700" w:lineRule="exact"/>
        <w:jc w:val="center"/>
        <w:rPr>
          <w:rFonts w:hint="eastAsia"/>
          <w:b/>
          <w:sz w:val="36"/>
        </w:rPr>
      </w:pPr>
    </w:p>
    <w:p>
      <w:pPr>
        <w:spacing w:line="700" w:lineRule="exact"/>
        <w:jc w:val="center"/>
        <w:rPr>
          <w:rFonts w:hint="eastAsia"/>
          <w:b/>
          <w:sz w:val="36"/>
        </w:rPr>
      </w:pPr>
    </w:p>
    <w:p>
      <w:pPr>
        <w:spacing w:line="600" w:lineRule="exact"/>
        <w:jc w:val="center"/>
        <w:rPr>
          <w:rFonts w:hint="eastAsia"/>
          <w:b/>
          <w:sz w:val="36"/>
        </w:rPr>
      </w:pPr>
    </w:p>
    <w:p>
      <w:pPr>
        <w:spacing w:line="600" w:lineRule="exact"/>
        <w:jc w:val="center"/>
        <w:rPr>
          <w:rFonts w:hint="eastAsia"/>
          <w:b/>
          <w:sz w:val="30"/>
        </w:rPr>
      </w:pPr>
    </w:p>
    <w:p>
      <w:pPr>
        <w:spacing w:line="600" w:lineRule="exact"/>
        <w:jc w:val="center"/>
        <w:rPr>
          <w:rFonts w:hint="eastAsia"/>
          <w:b/>
          <w:sz w:val="30"/>
        </w:rPr>
      </w:pPr>
    </w:p>
    <w:p>
      <w:pPr>
        <w:spacing w:line="600" w:lineRule="exact"/>
        <w:jc w:val="center"/>
        <w:rPr>
          <w:rFonts w:hint="eastAsia"/>
          <w:b/>
          <w:sz w:val="30"/>
        </w:rPr>
      </w:pPr>
    </w:p>
    <w:p>
      <w:pPr>
        <w:spacing w:line="360" w:lineRule="auto"/>
        <w:jc w:val="center"/>
        <w:rPr>
          <w:rFonts w:hint="eastAsia" w:ascii="宋体" w:hAnsi="宋体"/>
          <w:b/>
          <w:sz w:val="30"/>
        </w:rPr>
      </w:pPr>
      <w:r>
        <w:rPr>
          <w:rFonts w:hint="eastAsia" w:ascii="宋体" w:hAnsi="宋体"/>
          <w:b/>
          <w:sz w:val="30"/>
        </w:rPr>
        <w:t>方大新材料（江西）有限公司</w:t>
      </w:r>
    </w:p>
    <w:p>
      <w:pPr>
        <w:spacing w:line="600" w:lineRule="exact"/>
        <w:jc w:val="center"/>
        <w:rPr>
          <w:rFonts w:hint="eastAsia"/>
          <w:sz w:val="30"/>
        </w:rPr>
      </w:pPr>
      <w:r>
        <w:rPr>
          <w:rFonts w:hint="eastAsia"/>
          <w:b/>
          <w:sz w:val="30"/>
        </w:rPr>
        <w:t>20</w:t>
      </w:r>
      <w:r>
        <w:rPr>
          <w:rFonts w:hint="eastAsia"/>
          <w:b/>
          <w:sz w:val="30"/>
          <w:lang w:val="en-US" w:eastAsia="zh-CN"/>
        </w:rPr>
        <w:t>23</w:t>
      </w:r>
      <w:r>
        <w:rPr>
          <w:rFonts w:hint="eastAsia"/>
          <w:b/>
          <w:sz w:val="30"/>
        </w:rPr>
        <w:t>年</w:t>
      </w:r>
      <w:r>
        <w:rPr>
          <w:rFonts w:hint="eastAsia"/>
          <w:b/>
          <w:sz w:val="30"/>
          <w:lang w:val="en-US" w:eastAsia="zh-CN"/>
        </w:rPr>
        <w:t>5</w:t>
      </w:r>
      <w:r>
        <w:rPr>
          <w:rFonts w:hint="eastAsia"/>
          <w:b/>
          <w:sz w:val="30"/>
        </w:rPr>
        <w:t>月</w:t>
      </w:r>
      <w:r>
        <w:rPr>
          <w:rFonts w:hint="eastAsia"/>
          <w:b/>
          <w:sz w:val="30"/>
          <w:lang w:val="en-US" w:eastAsia="zh-CN"/>
        </w:rPr>
        <w:t>24</w:t>
      </w:r>
      <w:r>
        <w:rPr>
          <w:rFonts w:hint="eastAsia"/>
          <w:b/>
          <w:sz w:val="30"/>
        </w:rPr>
        <w:t>日</w:t>
      </w:r>
    </w:p>
    <w:p>
      <w:pPr>
        <w:spacing w:line="600" w:lineRule="exact"/>
        <w:jc w:val="center"/>
        <w:rPr>
          <w:rFonts w:hint="eastAsia"/>
          <w:sz w:val="30"/>
        </w:rPr>
      </w:pPr>
    </w:p>
    <w:p>
      <w:pPr>
        <w:spacing w:line="600" w:lineRule="exact"/>
        <w:jc w:val="center"/>
        <w:rPr>
          <w:rFonts w:hint="eastAsia"/>
          <w:sz w:val="30"/>
        </w:rPr>
      </w:pPr>
    </w:p>
    <w:p>
      <w:pPr>
        <w:spacing w:line="600" w:lineRule="exact"/>
        <w:jc w:val="center"/>
        <w:rPr>
          <w:rFonts w:hint="eastAsia"/>
          <w:sz w:val="30"/>
        </w:rPr>
      </w:pPr>
    </w:p>
    <w:p>
      <w:pPr>
        <w:spacing w:line="600" w:lineRule="exact"/>
        <w:jc w:val="center"/>
        <w:rPr>
          <w:rFonts w:hint="eastAsia"/>
          <w:sz w:val="30"/>
        </w:rPr>
      </w:pPr>
    </w:p>
    <w:p>
      <w:pPr>
        <w:spacing w:line="600" w:lineRule="exact"/>
        <w:jc w:val="center"/>
        <w:rPr>
          <w:rFonts w:hint="eastAsia"/>
          <w:sz w:val="30"/>
        </w:rPr>
      </w:pPr>
    </w:p>
    <w:p>
      <w:pPr>
        <w:spacing w:line="900" w:lineRule="exact"/>
        <w:jc w:val="center"/>
        <w:rPr>
          <w:rFonts w:hint="eastAsia"/>
          <w:b/>
          <w:sz w:val="32"/>
        </w:rPr>
      </w:pPr>
      <w:r>
        <w:rPr>
          <w:rFonts w:hint="eastAsia"/>
          <w:b/>
          <w:sz w:val="32"/>
          <w:lang w:eastAsia="zh-CN"/>
        </w:rPr>
        <w:t>氟碳</w:t>
      </w:r>
      <w:r>
        <w:rPr>
          <w:rFonts w:hint="eastAsia"/>
          <w:b/>
          <w:sz w:val="32"/>
        </w:rPr>
        <w:t>铝单板供应招标邀请函</w:t>
      </w:r>
    </w:p>
    <w:p>
      <w:pPr>
        <w:spacing w:line="360" w:lineRule="auto"/>
        <w:rPr>
          <w:rFonts w:hint="eastAsia" w:ascii="宋体" w:hAnsi="宋体"/>
          <w:b/>
          <w:sz w:val="24"/>
        </w:rPr>
      </w:pPr>
      <w:r>
        <w:rPr>
          <w:rFonts w:hint="eastAsia" w:ascii="宋体" w:hAnsi="宋体"/>
          <w:b/>
          <w:sz w:val="24"/>
        </w:rPr>
        <w:t>一、招标内容：</w:t>
      </w:r>
    </w:p>
    <w:p>
      <w:pPr>
        <w:spacing w:line="360" w:lineRule="auto"/>
        <w:rPr>
          <w:rFonts w:hint="eastAsia" w:ascii="宋体" w:hAnsi="宋体"/>
          <w:sz w:val="24"/>
        </w:rPr>
      </w:pPr>
      <w:r>
        <w:rPr>
          <w:rFonts w:hint="eastAsia" w:ascii="宋体" w:hAnsi="宋体"/>
          <w:sz w:val="24"/>
        </w:rPr>
        <w:t xml:space="preserve">    本次邀请主要为招标人提供优质价廉的</w:t>
      </w:r>
      <w:r>
        <w:rPr>
          <w:rFonts w:hint="eastAsia" w:ascii="宋体" w:hAnsi="宋体"/>
          <w:sz w:val="24"/>
          <w:u w:val="single"/>
        </w:rPr>
        <w:t xml:space="preserve">  </w:t>
      </w:r>
      <w:r>
        <w:rPr>
          <w:rFonts w:hint="eastAsia" w:ascii="宋体" w:hAnsi="宋体"/>
          <w:sz w:val="24"/>
          <w:u w:val="single"/>
          <w:lang w:eastAsia="zh-CN"/>
        </w:rPr>
        <w:t>氟碳</w:t>
      </w:r>
      <w:r>
        <w:rPr>
          <w:rFonts w:hint="eastAsia" w:ascii="宋体" w:hAnsi="宋体"/>
          <w:sz w:val="24"/>
          <w:u w:val="single"/>
          <w:lang w:val="en-US" w:eastAsia="zh-CN"/>
        </w:rPr>
        <w:t>&amp;粉末</w:t>
      </w:r>
      <w:bookmarkStart w:id="2" w:name="_GoBack"/>
      <w:bookmarkEnd w:id="2"/>
      <w:r>
        <w:rPr>
          <w:rFonts w:hint="eastAsia" w:ascii="宋体" w:hAnsi="宋体"/>
          <w:sz w:val="24"/>
          <w:u w:val="single"/>
          <w:lang w:eastAsia="zh-CN"/>
        </w:rPr>
        <w:t>铝单板</w:t>
      </w:r>
      <w:r>
        <w:rPr>
          <w:rFonts w:hint="eastAsia" w:ascii="宋体" w:hAnsi="宋体"/>
          <w:sz w:val="24"/>
        </w:rPr>
        <w:t xml:space="preserve">  ，并拟与中标单位签订采购供货合作协议，具体按招标人书面订购单要求供货，预计本次采购</w:t>
      </w:r>
      <w:r>
        <w:rPr>
          <w:rFonts w:hint="eastAsia" w:ascii="宋体" w:hAnsi="宋体"/>
          <w:sz w:val="24"/>
          <w:lang w:eastAsia="zh-CN"/>
        </w:rPr>
        <w:t>铝单板</w:t>
      </w:r>
      <w:r>
        <w:rPr>
          <w:rFonts w:hint="eastAsia" w:ascii="宋体" w:hAnsi="宋体"/>
          <w:sz w:val="24"/>
        </w:rPr>
        <w:t xml:space="preserve">为 </w:t>
      </w:r>
      <w:r>
        <w:rPr>
          <w:rFonts w:hint="eastAsia" w:ascii="宋体" w:hAnsi="宋体"/>
          <w:sz w:val="24"/>
          <w:lang w:val="en-US" w:eastAsia="zh-CN"/>
        </w:rPr>
        <w:t>5</w:t>
      </w:r>
      <w:r>
        <w:rPr>
          <w:rFonts w:hint="eastAsia" w:ascii="宋体" w:hAnsi="宋体"/>
          <w:sz w:val="24"/>
          <w:u w:val="single"/>
          <w:lang w:val="en-US" w:eastAsia="zh-CN"/>
        </w:rPr>
        <w:t>000</w:t>
      </w:r>
      <w:r>
        <w:rPr>
          <w:rFonts w:hint="eastAsia" w:ascii="宋体" w:hAnsi="宋体"/>
          <w:sz w:val="24"/>
        </w:rPr>
        <w:t>平方米，投标人需按要求填写《材料供应综合表》、《投标廉洁承诺书》、《诚信廉洁承诺书》并根据实际招标货物填写相应资料。提交报价表或自行附报价表，其价格应包括运输费、包装费、利润、税金及投标人认为其它应发生的费用。对其他的优惠条件及服务承诺可以另书面说明。本次评标采用综合评标法，价格以不含税价为比价，要求必须提供</w:t>
      </w:r>
      <w:r>
        <w:rPr>
          <w:rFonts w:hint="eastAsia" w:ascii="宋体" w:hAnsi="宋体"/>
          <w:sz w:val="24"/>
          <w:lang w:eastAsia="zh-CN"/>
        </w:rPr>
        <w:t>13</w:t>
      </w:r>
      <w:r>
        <w:rPr>
          <w:rFonts w:hint="eastAsia" w:ascii="宋体" w:hAnsi="宋体"/>
          <w:sz w:val="24"/>
        </w:rPr>
        <w:t>%增值税专用发票。</w:t>
      </w:r>
    </w:p>
    <w:p>
      <w:pPr>
        <w:spacing w:line="360" w:lineRule="auto"/>
        <w:rPr>
          <w:rFonts w:ascii="宋体" w:hAnsi="宋体"/>
          <w:sz w:val="24"/>
        </w:rPr>
      </w:pPr>
      <w:r>
        <w:rPr>
          <w:rFonts w:hint="eastAsia" w:ascii="宋体" w:hAnsi="宋体"/>
          <w:b/>
          <w:sz w:val="24"/>
        </w:rPr>
        <w:t>二、投标费用及投标资料：</w:t>
      </w:r>
    </w:p>
    <w:p>
      <w:pPr>
        <w:spacing w:line="360" w:lineRule="auto"/>
        <w:ind w:firstLine="480"/>
        <w:rPr>
          <w:rFonts w:hint="eastAsia" w:ascii="宋体" w:hAnsi="宋体"/>
          <w:sz w:val="24"/>
        </w:rPr>
      </w:pPr>
      <w:r>
        <w:rPr>
          <w:rFonts w:hint="eastAsia" w:ascii="宋体" w:hAnsi="宋体"/>
          <w:sz w:val="24"/>
        </w:rPr>
        <w:t>招标人不给予投标人资料制作费、样品费用等任何补偿，无论中标与否投标人的所有资料均不退还。</w:t>
      </w:r>
    </w:p>
    <w:p>
      <w:pPr>
        <w:spacing w:line="360" w:lineRule="auto"/>
        <w:rPr>
          <w:rFonts w:hint="eastAsia" w:ascii="宋体" w:hAnsi="宋体"/>
          <w:b/>
          <w:sz w:val="24"/>
        </w:rPr>
      </w:pPr>
      <w:r>
        <w:rPr>
          <w:rFonts w:hint="eastAsia" w:ascii="宋体" w:hAnsi="宋体"/>
          <w:b/>
          <w:sz w:val="24"/>
        </w:rPr>
        <w:t>三、投 标 保 证 金：</w:t>
      </w:r>
    </w:p>
    <w:p>
      <w:pPr>
        <w:spacing w:line="360" w:lineRule="auto"/>
        <w:rPr>
          <w:rFonts w:hint="eastAsia" w:ascii="宋体" w:hAnsi="宋体"/>
          <w:sz w:val="24"/>
        </w:rPr>
      </w:pPr>
      <w:r>
        <w:rPr>
          <w:rFonts w:ascii="宋体" w:hAnsi="宋体"/>
          <w:sz w:val="24"/>
        </w:rPr>
        <w:t>1、作为投标文件的一部分，投标者应提供</w:t>
      </w:r>
      <w:r>
        <w:rPr>
          <w:rFonts w:hint="eastAsia" w:ascii="宋体" w:hAnsi="宋体"/>
          <w:sz w:val="24"/>
        </w:rPr>
        <w:t>人民币</w:t>
      </w:r>
      <w:r>
        <w:rPr>
          <w:rFonts w:hint="eastAsia" w:ascii="宋体" w:hAnsi="宋体"/>
          <w:sz w:val="24"/>
          <w:lang w:val="en-US" w:eastAsia="zh-CN"/>
        </w:rPr>
        <w:t>1</w:t>
      </w:r>
      <w:r>
        <w:rPr>
          <w:rFonts w:hint="eastAsia" w:ascii="宋体" w:hAnsi="宋体"/>
          <w:sz w:val="24"/>
          <w:u w:val="single"/>
        </w:rPr>
        <w:t>000.00</w:t>
      </w:r>
      <w:r>
        <w:rPr>
          <w:rFonts w:ascii="宋体" w:hAnsi="宋体"/>
          <w:sz w:val="24"/>
        </w:rPr>
        <w:t>元作为投标保证金，</w:t>
      </w:r>
      <w:r>
        <w:rPr>
          <w:rFonts w:hint="eastAsia" w:ascii="宋体" w:hAnsi="宋体"/>
          <w:sz w:val="24"/>
        </w:rPr>
        <w:t>投标单位应的交标截止日期之前将</w:t>
      </w:r>
      <w:r>
        <w:rPr>
          <w:rFonts w:ascii="宋体" w:hAnsi="宋体"/>
          <w:sz w:val="24"/>
        </w:rPr>
        <w:t>投标保</w:t>
      </w:r>
      <w:r>
        <w:rPr>
          <w:rFonts w:hint="eastAsia" w:ascii="宋体" w:hAnsi="宋体"/>
          <w:sz w:val="24"/>
        </w:rPr>
        <w:t>证金通过银行转帐方式支付给招标单位，招标单位开户行及帐号如下：</w:t>
      </w:r>
    </w:p>
    <w:p>
      <w:pPr>
        <w:pStyle w:val="7"/>
        <w:spacing w:line="360" w:lineRule="auto"/>
        <w:ind w:left="588" w:leftChars="280"/>
        <w:jc w:val="left"/>
        <w:rPr>
          <w:rFonts w:hint="eastAsia"/>
        </w:rPr>
      </w:pPr>
      <w:r>
        <w:rPr>
          <w:rFonts w:hint="eastAsia"/>
        </w:rPr>
        <w:t xml:space="preserve">公司名称：方大新材料（江西）有限公司                             </w:t>
      </w:r>
      <w:r>
        <w:rPr>
          <w:rFonts w:hint="eastAsia"/>
          <w:lang w:val="en-US" w:eastAsia="zh-CN"/>
        </w:rPr>
        <w:t xml:space="preserve"> </w:t>
      </w:r>
      <w:r>
        <w:rPr>
          <w:rFonts w:hint="eastAsia"/>
        </w:rPr>
        <w:t xml:space="preserve">     开户行：交通银行南昌市北京东路支行                              </w:t>
      </w:r>
      <w:r>
        <w:rPr>
          <w:rFonts w:hint="eastAsia"/>
          <w:lang w:val="en-US" w:eastAsia="zh-CN"/>
        </w:rPr>
        <w:t xml:space="preserve">  </w:t>
      </w:r>
      <w:r>
        <w:rPr>
          <w:rFonts w:hint="eastAsia"/>
        </w:rPr>
        <w:t xml:space="preserve">   帐号：361606000018000293796</w:t>
      </w:r>
    </w:p>
    <w:p>
      <w:pPr>
        <w:pStyle w:val="7"/>
        <w:numPr>
          <w:ilvl w:val="0"/>
          <w:numId w:val="1"/>
        </w:numPr>
        <w:spacing w:line="360" w:lineRule="auto"/>
      </w:pPr>
      <w:r>
        <w:t>未中标者的保证金，其投标保证金将在定标后</w:t>
      </w:r>
      <w:r>
        <w:rPr>
          <w:rFonts w:hint="eastAsia"/>
        </w:rPr>
        <w:t>10个工作日</w:t>
      </w:r>
      <w:r>
        <w:t>内退还。</w:t>
      </w:r>
    </w:p>
    <w:p>
      <w:pPr>
        <w:pStyle w:val="7"/>
        <w:numPr>
          <w:ilvl w:val="0"/>
          <w:numId w:val="1"/>
        </w:numPr>
        <w:spacing w:line="360" w:lineRule="auto"/>
      </w:pPr>
      <w:r>
        <w:rPr>
          <w:rFonts w:hint="eastAsia"/>
        </w:rPr>
        <w:t>中标者的保证金，其投标保证金将在合同签订后自动转为合同履约保证金，合同履约保证金在全部到货且验收合格（若包含安装则在全部到货安装并验收合格）后10个工作日内无息退还。</w:t>
      </w:r>
      <w:r>
        <w:br w:type="textWrapping"/>
      </w:r>
      <w:r>
        <w:rPr>
          <w:rFonts w:hint="eastAsia"/>
        </w:rPr>
        <w:t>4</w:t>
      </w:r>
      <w:r>
        <w:t>、若发生下列情况之一，保证金将被没收，不予退还：</w:t>
      </w:r>
      <w:r>
        <w:br w:type="textWrapping"/>
      </w:r>
      <w:r>
        <w:t>    （1）在投标书有效期内，投标者撤</w:t>
      </w:r>
      <w:r>
        <w:rPr>
          <w:rFonts w:hint="eastAsia"/>
        </w:rPr>
        <w:t>销</w:t>
      </w:r>
      <w:r>
        <w:t>投标书；</w:t>
      </w:r>
      <w:r>
        <w:br w:type="textWrapping"/>
      </w:r>
      <w:r>
        <w:t>    （2）投标者将投标报价泄露给第三方，或投标者相互串通，哄抬报价。</w:t>
      </w:r>
      <w:r>
        <w:br w:type="textWrapping"/>
      </w:r>
      <w:r>
        <w:t>    （3）中标者不按招标文件和投标文件内容</w:t>
      </w:r>
      <w:r>
        <w:rPr>
          <w:rFonts w:hint="eastAsia"/>
        </w:rPr>
        <w:t>要求</w:t>
      </w:r>
      <w:r>
        <w:t>签</w:t>
      </w:r>
      <w:r>
        <w:rPr>
          <w:rFonts w:hint="eastAsia"/>
        </w:rPr>
        <w:t>订</w:t>
      </w:r>
      <w:r>
        <w:t>合同</w:t>
      </w:r>
      <w:r>
        <w:rPr>
          <w:rFonts w:hint="eastAsia"/>
          <w:lang w:eastAsia="zh-CN"/>
        </w:rPr>
        <w:t>，或未在中标通知书要求的期限内与招标人签订合同</w:t>
      </w:r>
      <w:r>
        <w:t>。</w:t>
      </w:r>
    </w:p>
    <w:p>
      <w:pPr>
        <w:spacing w:line="360" w:lineRule="auto"/>
        <w:rPr>
          <w:rFonts w:hint="eastAsia" w:ascii="宋体" w:hAnsi="宋体"/>
          <w:b/>
          <w:sz w:val="24"/>
        </w:rPr>
      </w:pPr>
      <w:r>
        <w:rPr>
          <w:rFonts w:hint="eastAsia" w:ascii="宋体" w:hAnsi="宋体"/>
          <w:b/>
          <w:sz w:val="24"/>
        </w:rPr>
        <w:t>四、招标单位承诺：</w:t>
      </w:r>
    </w:p>
    <w:p>
      <w:pPr>
        <w:spacing w:line="360" w:lineRule="auto"/>
        <w:rPr>
          <w:rFonts w:hint="eastAsia" w:ascii="宋体" w:hAnsi="宋体"/>
          <w:sz w:val="24"/>
        </w:rPr>
      </w:pPr>
      <w:r>
        <w:rPr>
          <w:rFonts w:hint="eastAsia" w:ascii="宋体" w:hAnsi="宋体"/>
          <w:sz w:val="24"/>
        </w:rPr>
        <w:t xml:space="preserve">    在整个招标过程中，招标单位坚持公平、公正、公开的原则，但招标单位无任何义务向投标人公布开标、评标和定标的有关细节以及投标人落标的原因。招标单位投诉电话：0755-26788571-5515 审计中心。</w:t>
      </w:r>
    </w:p>
    <w:p>
      <w:pPr>
        <w:spacing w:line="360" w:lineRule="auto"/>
        <w:rPr>
          <w:rFonts w:hint="eastAsia" w:ascii="宋体" w:hAnsi="宋体"/>
          <w:b/>
          <w:sz w:val="24"/>
        </w:rPr>
      </w:pPr>
      <w:r>
        <w:rPr>
          <w:rFonts w:hint="eastAsia" w:ascii="宋体" w:hAnsi="宋体"/>
          <w:b/>
          <w:sz w:val="24"/>
        </w:rPr>
        <w:t>五、招标时间安排：</w:t>
      </w:r>
    </w:p>
    <w:p>
      <w:pPr>
        <w:spacing w:line="360" w:lineRule="auto"/>
        <w:rPr>
          <w:rFonts w:hint="default" w:ascii="宋体" w:hAnsi="宋体" w:eastAsia="宋体"/>
          <w:sz w:val="24"/>
          <w:lang w:val="en-US" w:eastAsia="zh-CN"/>
        </w:rPr>
      </w:pPr>
      <w:r>
        <w:rPr>
          <w:rFonts w:hint="eastAsia" w:ascii="宋体" w:hAnsi="宋体"/>
          <w:sz w:val="24"/>
        </w:rPr>
        <w:t xml:space="preserve">    截标时间：投标文件须于</w:t>
      </w:r>
      <w:r>
        <w:rPr>
          <w:rFonts w:hint="eastAsia" w:ascii="宋体" w:hAnsi="宋体"/>
          <w:sz w:val="24"/>
          <w:u w:val="single"/>
        </w:rPr>
        <w:t xml:space="preserve">  20</w:t>
      </w:r>
      <w:r>
        <w:rPr>
          <w:rFonts w:hint="eastAsia" w:ascii="宋体" w:hAnsi="宋体"/>
          <w:sz w:val="24"/>
          <w:u w:val="single"/>
          <w:lang w:val="en-US" w:eastAsia="zh-CN"/>
        </w:rPr>
        <w:t>23</w:t>
      </w:r>
      <w:r>
        <w:rPr>
          <w:rFonts w:hint="eastAsia" w:ascii="宋体" w:hAnsi="宋体"/>
          <w:sz w:val="24"/>
          <w:u w:val="single"/>
        </w:rPr>
        <w:t>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5</w:t>
      </w:r>
      <w:r>
        <w:rPr>
          <w:rFonts w:hint="eastAsia" w:ascii="宋体" w:hAnsi="宋体"/>
          <w:sz w:val="24"/>
          <w:u w:val="single"/>
        </w:rPr>
        <w:t>日</w:t>
      </w:r>
      <w:r>
        <w:rPr>
          <w:rFonts w:hint="eastAsia" w:ascii="宋体" w:hAnsi="宋体"/>
          <w:sz w:val="24"/>
        </w:rPr>
        <w:t>前送至方大新材料（江西）有限公司，地点：南昌市高新大道北方大科技园，联系人：</w:t>
      </w:r>
      <w:r>
        <w:rPr>
          <w:rFonts w:hint="eastAsia" w:ascii="宋体" w:hAnsi="宋体"/>
          <w:sz w:val="24"/>
          <w:lang w:eastAsia="zh-CN"/>
        </w:rPr>
        <w:t>何雪凌</w:t>
      </w:r>
      <w:r>
        <w:rPr>
          <w:rFonts w:hint="eastAsia" w:ascii="宋体" w:hAnsi="宋体"/>
          <w:sz w:val="24"/>
        </w:rPr>
        <w:t>、手机：</w:t>
      </w:r>
      <w:r>
        <w:rPr>
          <w:rFonts w:hint="eastAsia" w:ascii="宋体" w:hAnsi="宋体"/>
          <w:sz w:val="24"/>
          <w:lang w:val="en-US" w:eastAsia="zh-CN"/>
        </w:rPr>
        <w:t>13803512353</w:t>
      </w:r>
    </w:p>
    <w:p>
      <w:pPr>
        <w:tabs>
          <w:tab w:val="center" w:pos="4320"/>
        </w:tabs>
        <w:spacing w:line="360" w:lineRule="auto"/>
        <w:rPr>
          <w:rFonts w:hint="eastAsia" w:ascii="宋体" w:hAnsi="宋体"/>
          <w:b/>
          <w:sz w:val="24"/>
        </w:rPr>
      </w:pPr>
      <w:r>
        <w:rPr>
          <w:rFonts w:hint="eastAsia" w:ascii="宋体" w:hAnsi="宋体"/>
          <w:b/>
          <w:sz w:val="24"/>
        </w:rPr>
        <w:t>六、投标书的编制：</w:t>
      </w:r>
      <w:r>
        <w:rPr>
          <w:rFonts w:ascii="宋体" w:hAnsi="宋体"/>
          <w:b/>
          <w:sz w:val="24"/>
        </w:rPr>
        <w:tab/>
      </w:r>
    </w:p>
    <w:p>
      <w:pPr>
        <w:spacing w:line="360" w:lineRule="auto"/>
        <w:ind w:firstLine="480" w:firstLineChars="200"/>
        <w:rPr>
          <w:rFonts w:hint="eastAsia" w:ascii="宋体" w:hAnsi="宋体"/>
          <w:sz w:val="24"/>
        </w:rPr>
      </w:pPr>
      <w:r>
        <w:rPr>
          <w:rFonts w:hint="eastAsia" w:ascii="宋体" w:hAnsi="宋体"/>
          <w:sz w:val="24"/>
        </w:rPr>
        <w:t>（1）《材料供应综合表》，价格表及以外的优惠条件和服务承诺。</w:t>
      </w:r>
    </w:p>
    <w:p>
      <w:pPr>
        <w:spacing w:line="360" w:lineRule="auto"/>
        <w:ind w:left="1200" w:hanging="1200" w:hangingChars="500"/>
        <w:rPr>
          <w:rFonts w:hint="eastAsia" w:ascii="宋体" w:hAnsi="宋体"/>
          <w:sz w:val="24"/>
        </w:rPr>
      </w:pPr>
      <w:r>
        <w:rPr>
          <w:rFonts w:hint="eastAsia" w:ascii="宋体" w:hAnsi="宋体"/>
          <w:sz w:val="24"/>
        </w:rPr>
        <w:t xml:space="preserve">    （2）三证合一营业执照及其他有关资格和资信证明文件（复印件加盖单位公章）。</w:t>
      </w:r>
    </w:p>
    <w:p>
      <w:pPr>
        <w:spacing w:line="360" w:lineRule="auto"/>
        <w:ind w:left="1161" w:leftChars="210" w:hanging="720" w:hangingChars="300"/>
        <w:rPr>
          <w:rFonts w:hint="eastAsia" w:ascii="宋体" w:hAnsi="宋体"/>
          <w:sz w:val="24"/>
        </w:rPr>
      </w:pPr>
      <w:r>
        <w:rPr>
          <w:rFonts w:hint="eastAsia" w:ascii="宋体" w:hAnsi="宋体"/>
          <w:sz w:val="24"/>
        </w:rPr>
        <w:t xml:space="preserve"> （3）有关邀请函内容的认同程度，如有与邀请函要求不同之处应列出差异说明。</w:t>
      </w:r>
    </w:p>
    <w:p>
      <w:pPr>
        <w:spacing w:line="360" w:lineRule="auto"/>
        <w:ind w:firstLine="480" w:firstLineChars="200"/>
        <w:rPr>
          <w:rFonts w:hint="eastAsia" w:ascii="宋体" w:hAnsi="宋体"/>
          <w:sz w:val="24"/>
        </w:rPr>
      </w:pPr>
      <w:r>
        <w:rPr>
          <w:rFonts w:hint="eastAsia" w:ascii="宋体" w:hAnsi="宋体"/>
          <w:sz w:val="24"/>
        </w:rPr>
        <w:t>（4）法人代表授权书。</w:t>
      </w:r>
    </w:p>
    <w:p>
      <w:pPr>
        <w:spacing w:line="360" w:lineRule="auto"/>
        <w:ind w:firstLine="480" w:firstLineChars="200"/>
        <w:rPr>
          <w:rFonts w:hint="eastAsia" w:ascii="宋体" w:hAnsi="宋体"/>
          <w:sz w:val="24"/>
        </w:rPr>
      </w:pPr>
      <w:r>
        <w:rPr>
          <w:rFonts w:hint="eastAsia" w:ascii="宋体" w:hAnsi="宋体"/>
          <w:sz w:val="24"/>
        </w:rPr>
        <w:t>（5）招标附件1~</w:t>
      </w:r>
      <w:r>
        <w:rPr>
          <w:rFonts w:hint="eastAsia" w:ascii="宋体" w:hAnsi="宋体"/>
          <w:sz w:val="24"/>
          <w:lang w:val="en-US" w:eastAsia="zh-CN"/>
        </w:rPr>
        <w:t>5</w:t>
      </w:r>
      <w:r>
        <w:rPr>
          <w:rFonts w:hint="eastAsia" w:ascii="宋体" w:hAnsi="宋体"/>
          <w:sz w:val="24"/>
        </w:rPr>
        <w:t>签字盖章一式两份。</w:t>
      </w:r>
    </w:p>
    <w:p>
      <w:pPr>
        <w:spacing w:line="360" w:lineRule="auto"/>
        <w:rPr>
          <w:rFonts w:hint="eastAsia" w:ascii="宋体" w:hAnsi="宋体"/>
          <w:sz w:val="24"/>
        </w:rPr>
      </w:pPr>
      <w:r>
        <w:rPr>
          <w:rFonts w:hint="eastAsia" w:ascii="宋体" w:hAnsi="宋体"/>
          <w:b/>
          <w:sz w:val="24"/>
        </w:rPr>
        <w:t>七、声明：</w:t>
      </w:r>
    </w:p>
    <w:p>
      <w:pPr>
        <w:tabs>
          <w:tab w:val="left" w:pos="284"/>
          <w:tab w:val="left" w:pos="426"/>
        </w:tabs>
        <w:spacing w:line="360" w:lineRule="auto"/>
        <w:rPr>
          <w:rFonts w:hint="eastAsia" w:ascii="宋体" w:hAnsi="宋体"/>
          <w:sz w:val="24"/>
        </w:rPr>
      </w:pPr>
      <w:r>
        <w:rPr>
          <w:rFonts w:hint="eastAsia" w:ascii="宋体" w:hAnsi="宋体"/>
          <w:sz w:val="24"/>
        </w:rPr>
        <w:t xml:space="preserve">       1、投标报价：</w:t>
      </w:r>
    </w:p>
    <w:p>
      <w:pPr>
        <w:tabs>
          <w:tab w:val="left" w:pos="284"/>
          <w:tab w:val="left" w:pos="426"/>
        </w:tabs>
        <w:spacing w:line="360" w:lineRule="auto"/>
        <w:rPr>
          <w:rFonts w:hint="eastAsia" w:ascii="宋体" w:hAnsi="宋体"/>
          <w:sz w:val="24"/>
        </w:rPr>
      </w:pPr>
      <w:r>
        <w:rPr>
          <w:rFonts w:hint="eastAsia" w:ascii="宋体" w:hAnsi="宋体"/>
          <w:sz w:val="24"/>
        </w:rPr>
        <w:t xml:space="preserve">     （1）投标人根据</w:t>
      </w:r>
      <w:r>
        <w:rPr>
          <w:rFonts w:hint="eastAsia" w:ascii="宋体" w:hAnsi="宋体"/>
          <w:sz w:val="24"/>
          <w:lang w:eastAsia="zh-CN"/>
        </w:rPr>
        <w:t>铝单板</w:t>
      </w:r>
      <w:r>
        <w:rPr>
          <w:rFonts w:hint="eastAsia" w:ascii="宋体" w:hAnsi="宋体"/>
          <w:sz w:val="24"/>
        </w:rPr>
        <w:t>材料材质、规格型号要求、市场状况及企业自身的情况自主报价，包括材料费、包装费、管理费、利润、税金及投标人认为其它应发生的一切费用。</w:t>
      </w:r>
    </w:p>
    <w:p>
      <w:pPr>
        <w:tabs>
          <w:tab w:val="left" w:pos="284"/>
          <w:tab w:val="left" w:pos="426"/>
        </w:tabs>
        <w:spacing w:line="360" w:lineRule="auto"/>
        <w:ind w:firstLine="480" w:firstLineChars="200"/>
        <w:rPr>
          <w:rFonts w:hint="eastAsia"/>
          <w:color w:val="333333"/>
          <w:sz w:val="24"/>
          <w:shd w:val="clear" w:color="auto" w:fill="FFFFFF"/>
        </w:rPr>
      </w:pPr>
      <w:r>
        <w:rPr>
          <w:rFonts w:hint="eastAsia" w:ascii="宋体" w:hAnsi="宋体"/>
          <w:sz w:val="24"/>
        </w:rPr>
        <w:t>（2）产品满足合同要求相关标准。</w:t>
      </w:r>
    </w:p>
    <w:p>
      <w:pPr>
        <w:spacing w:line="360" w:lineRule="auto"/>
        <w:rPr>
          <w:rFonts w:hint="eastAsia" w:ascii="宋体" w:hAnsi="宋体"/>
          <w:sz w:val="24"/>
        </w:rPr>
      </w:pPr>
      <w:r>
        <w:rPr>
          <w:rFonts w:hint="eastAsia" w:ascii="宋体" w:hAnsi="宋体"/>
          <w:sz w:val="24"/>
        </w:rPr>
        <w:t xml:space="preserve">    （3）交货地点及费用负担：合同指定地点（ </w:t>
      </w:r>
      <w:r>
        <w:rPr>
          <w:rFonts w:hint="eastAsia" w:ascii="宋体" w:hAnsi="宋体"/>
          <w:sz w:val="24"/>
          <w:u w:val="single"/>
        </w:rPr>
        <w:t xml:space="preserve"> </w:t>
      </w:r>
      <w:r>
        <w:rPr>
          <w:rFonts w:hint="eastAsia" w:ascii="宋体" w:hAnsi="宋体"/>
          <w:sz w:val="24"/>
        </w:rPr>
        <w:t xml:space="preserve"> ），费用由投标方承担。</w:t>
      </w:r>
    </w:p>
    <w:p>
      <w:pPr>
        <w:spacing w:line="360" w:lineRule="auto"/>
        <w:ind w:left="1156" w:leftChars="240" w:hanging="652" w:hangingChars="272"/>
        <w:rPr>
          <w:rFonts w:hint="eastAsia" w:ascii="宋体" w:hAnsi="宋体"/>
          <w:sz w:val="24"/>
        </w:rPr>
      </w:pPr>
      <w:r>
        <w:rPr>
          <w:rFonts w:hint="eastAsia" w:ascii="宋体" w:hAnsi="宋体"/>
          <w:sz w:val="24"/>
        </w:rPr>
        <w:t xml:space="preserve">（4）招标单位对投标人的任何报价均视为其对本标书内容已经全部理解，  </w:t>
      </w:r>
    </w:p>
    <w:p>
      <w:pPr>
        <w:spacing w:line="360" w:lineRule="auto"/>
        <w:rPr>
          <w:rFonts w:hint="eastAsia" w:ascii="宋体" w:hAnsi="宋体"/>
          <w:sz w:val="24"/>
        </w:rPr>
      </w:pPr>
      <w:r>
        <w:rPr>
          <w:rFonts w:hint="eastAsia" w:ascii="宋体" w:hAnsi="宋体"/>
          <w:sz w:val="24"/>
        </w:rPr>
        <w:t>投标人由于对本标书不正确的理解造成的报价失误等责任由投标人自行承担，投标人报价中缺项、漏项、少量等均视为对招标单位的价格优惠；优惠承诺可附后。</w:t>
      </w:r>
    </w:p>
    <w:p>
      <w:pPr>
        <w:spacing w:line="360" w:lineRule="auto"/>
        <w:rPr>
          <w:rFonts w:hint="eastAsia" w:ascii="宋体" w:hAnsi="宋体"/>
          <w:sz w:val="24"/>
        </w:rPr>
      </w:pPr>
      <w:r>
        <w:rPr>
          <w:rFonts w:hint="eastAsia" w:ascii="宋体" w:hAnsi="宋体"/>
          <w:sz w:val="24"/>
        </w:rPr>
        <w:t xml:space="preserve">    （5）投标人在报价汇总表上加盖公司公章。</w:t>
      </w:r>
    </w:p>
    <w:p>
      <w:pPr>
        <w:spacing w:line="360" w:lineRule="auto"/>
        <w:rPr>
          <w:rFonts w:hint="eastAsia" w:ascii="宋体" w:hAnsi="宋体"/>
          <w:sz w:val="24"/>
        </w:rPr>
      </w:pPr>
      <w:r>
        <w:rPr>
          <w:rFonts w:hint="eastAsia" w:ascii="宋体" w:hAnsi="宋体"/>
          <w:sz w:val="24"/>
        </w:rPr>
        <w:t xml:space="preserve">      2、投标文件的份数和签署：</w:t>
      </w:r>
    </w:p>
    <w:p>
      <w:pPr>
        <w:spacing w:line="360" w:lineRule="auto"/>
        <w:rPr>
          <w:rFonts w:hint="eastAsia" w:ascii="宋体" w:hAnsi="宋体"/>
          <w:sz w:val="24"/>
        </w:rPr>
      </w:pPr>
      <w:r>
        <w:rPr>
          <w:rFonts w:hint="eastAsia" w:ascii="宋体" w:hAnsi="宋体"/>
          <w:sz w:val="24"/>
        </w:rPr>
        <w:t xml:space="preserve">      投标书一份，需密封在一个A4资料袋中，并加盖齐缝章和单位名称。投标密封袋上应写明材料供应投标书和投标单位名称。</w:t>
      </w:r>
    </w:p>
    <w:p>
      <w:pPr>
        <w:spacing w:line="360" w:lineRule="auto"/>
        <w:rPr>
          <w:rFonts w:hint="eastAsia" w:ascii="宋体" w:hAnsi="宋体"/>
          <w:sz w:val="24"/>
        </w:rPr>
      </w:pPr>
      <w:r>
        <w:rPr>
          <w:rFonts w:hint="eastAsia" w:ascii="宋体" w:hAnsi="宋体"/>
          <w:sz w:val="24"/>
        </w:rPr>
        <w:t xml:space="preserve">      3、中标单位在签订合同时，若坚持提出附加条件和不合理要求，招标单位有权取消其中标资格，由此产生的一切责任由</w:t>
      </w:r>
      <w:r>
        <w:rPr>
          <w:rFonts w:hint="eastAsia" w:ascii="宋体" w:hAnsi="宋体"/>
          <w:sz w:val="24"/>
          <w:lang w:eastAsia="zh-CN"/>
        </w:rPr>
        <w:t>中标单位</w:t>
      </w:r>
      <w:r>
        <w:rPr>
          <w:rFonts w:hint="eastAsia" w:ascii="宋体" w:hAnsi="宋体"/>
          <w:sz w:val="24"/>
        </w:rPr>
        <w:t>负责。</w:t>
      </w:r>
    </w:p>
    <w:p>
      <w:pPr>
        <w:spacing w:line="360" w:lineRule="auto"/>
        <w:ind w:firstLine="5280" w:firstLineChars="2200"/>
        <w:rPr>
          <w:rFonts w:hint="eastAsia" w:ascii="宋体" w:hAnsi="宋体"/>
          <w:sz w:val="24"/>
        </w:rPr>
      </w:pPr>
      <w:r>
        <w:rPr>
          <w:rFonts w:hint="eastAsia" w:ascii="宋体" w:hAnsi="宋体"/>
          <w:sz w:val="24"/>
        </w:rPr>
        <w:t>方大新材料（江西）有限公司</w:t>
      </w:r>
    </w:p>
    <w:p>
      <w:pPr>
        <w:spacing w:line="360" w:lineRule="auto"/>
        <w:ind w:left="6041" w:leftChars="2534" w:hanging="720" w:hangingChars="300"/>
        <w:rPr>
          <w:rFonts w:hint="eastAsia" w:ascii="宋体" w:hAnsi="宋体"/>
          <w:sz w:val="24"/>
        </w:rPr>
      </w:pPr>
      <w:r>
        <w:rPr>
          <w:rFonts w:hint="eastAsia" w:ascii="宋体" w:hAnsi="宋体"/>
          <w:sz w:val="24"/>
        </w:rPr>
        <w:t xml:space="preserve">         采购部</w:t>
      </w:r>
    </w:p>
    <w:p>
      <w:pPr>
        <w:spacing w:line="360" w:lineRule="auto"/>
        <w:ind w:left="5640" w:hanging="5640" w:hangingChars="2350"/>
        <w:rPr>
          <w:rFonts w:hint="eastAsia"/>
          <w:sz w:val="24"/>
        </w:rPr>
      </w:pPr>
      <w:r>
        <w:rPr>
          <w:rFonts w:hint="eastAsia" w:ascii="宋体" w:hAnsi="宋体"/>
          <w:sz w:val="24"/>
        </w:rPr>
        <w:t xml:space="preserve">                                                 20</w:t>
      </w:r>
      <w:r>
        <w:rPr>
          <w:rFonts w:hint="eastAsia" w:ascii="宋体" w:hAnsi="宋体"/>
          <w:sz w:val="24"/>
          <w:lang w:val="en-US" w:eastAsia="zh-CN"/>
        </w:rPr>
        <w:t>23</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24</w:t>
      </w:r>
      <w:r>
        <w:rPr>
          <w:rFonts w:hint="eastAsia" w:ascii="宋体" w:hAnsi="宋体"/>
          <w:sz w:val="24"/>
        </w:rPr>
        <w:t xml:space="preserve">日 </w:t>
      </w:r>
    </w:p>
    <w:p>
      <w:pPr>
        <w:spacing w:line="360" w:lineRule="auto"/>
        <w:ind w:left="5640" w:hanging="5640" w:hangingChars="2350"/>
        <w:rPr>
          <w:rFonts w:hint="eastAsia"/>
          <w:sz w:val="24"/>
        </w:rPr>
      </w:pPr>
    </w:p>
    <w:p>
      <w:pPr>
        <w:spacing w:line="480" w:lineRule="exact"/>
        <w:ind w:right="-328"/>
        <w:jc w:val="both"/>
        <w:rPr>
          <w:rFonts w:hint="eastAsia" w:ascii="宋体" w:hAnsi="宋体"/>
          <w:color w:val="auto"/>
          <w:spacing w:val="-40"/>
          <w:highlight w:val="none"/>
        </w:rPr>
      </w:pPr>
      <w:r>
        <w:rPr>
          <w:rFonts w:hint="eastAsia" w:ascii="宋体" w:hAnsi="宋体"/>
          <w:b/>
          <w:color w:val="auto"/>
          <w:spacing w:val="-40"/>
          <w:highlight w:val="none"/>
        </w:rPr>
        <w:t xml:space="preserve">                                                                      </w:t>
      </w:r>
      <w:r>
        <w:rPr>
          <w:rFonts w:hint="eastAsia" w:ascii="宋体" w:hAnsi="宋体"/>
          <w:color w:val="auto"/>
          <w:spacing w:val="-40"/>
          <w:highlight w:val="none"/>
        </w:rPr>
        <w:t xml:space="preserve">         </w:t>
      </w:r>
    </w:p>
    <w:p>
      <w:pPr>
        <w:spacing w:line="360" w:lineRule="auto"/>
        <w:jc w:val="both"/>
        <w:rPr>
          <w:rFonts w:hint="default" w:ascii="宋体" w:hAnsi="宋体"/>
          <w:b/>
          <w:bCs/>
          <w:sz w:val="24"/>
          <w:lang w:val="en-US" w:eastAsia="zh-CN"/>
        </w:rPr>
      </w:pPr>
      <w:r>
        <w:rPr>
          <w:rFonts w:hint="eastAsia" w:ascii="宋体" w:hAnsi="宋体"/>
          <w:sz w:val="24"/>
        </w:rPr>
        <w:t>招标</w:t>
      </w:r>
      <w:r>
        <w:rPr>
          <w:rFonts w:hint="eastAsia"/>
          <w:b/>
          <w:sz w:val="24"/>
        </w:rPr>
        <w:t>附件1</w:t>
      </w:r>
    </w:p>
    <w:p>
      <w:pPr>
        <w:spacing w:line="360" w:lineRule="auto"/>
        <w:jc w:val="center"/>
        <w:rPr>
          <w:rFonts w:hint="eastAsia" w:ascii="宋体" w:hAnsi="宋体" w:eastAsia="宋体"/>
          <w:b/>
          <w:bCs/>
          <w:sz w:val="24"/>
          <w:lang w:eastAsia="zh-CN"/>
        </w:rPr>
      </w:pPr>
      <w:r>
        <w:rPr>
          <w:rFonts w:hint="eastAsia" w:ascii="宋体" w:hAnsi="宋体"/>
          <w:b/>
          <w:bCs/>
          <w:kern w:val="0"/>
          <w:sz w:val="28"/>
          <w:szCs w:val="28"/>
          <w:highlight w:val="none"/>
          <w:u w:val="none"/>
          <w:lang w:eastAsia="zh-CN"/>
        </w:rPr>
        <w:t>西宁项目询价单</w:t>
      </w:r>
    </w:p>
    <w:tbl>
      <w:tblPr>
        <w:tblStyle w:val="8"/>
        <w:tblW w:w="10080" w:type="dxa"/>
        <w:tblInd w:w="0" w:type="dxa"/>
        <w:shd w:val="clear" w:color="auto" w:fill="auto"/>
        <w:tblLayout w:type="autofit"/>
        <w:tblCellMar>
          <w:top w:w="0" w:type="dxa"/>
          <w:left w:w="0" w:type="dxa"/>
          <w:bottom w:w="0" w:type="dxa"/>
          <w:right w:w="0" w:type="dxa"/>
        </w:tblCellMar>
      </w:tblPr>
      <w:tblGrid>
        <w:gridCol w:w="1560"/>
        <w:gridCol w:w="1305"/>
        <w:gridCol w:w="1028"/>
        <w:gridCol w:w="1425"/>
        <w:gridCol w:w="1800"/>
        <w:gridCol w:w="2962"/>
      </w:tblGrid>
      <w:tr>
        <w:tblPrEx>
          <w:shd w:val="clear" w:color="auto" w:fill="auto"/>
          <w:tblCellMar>
            <w:top w:w="0" w:type="dxa"/>
            <w:left w:w="0" w:type="dxa"/>
            <w:bottom w:w="0" w:type="dxa"/>
            <w:right w:w="0" w:type="dxa"/>
          </w:tblCellMar>
        </w:tblPrEx>
        <w:trPr>
          <w:trHeight w:val="420" w:hRule="atLeast"/>
        </w:trPr>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产品名称</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数量（平米）</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材质</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含税13%价格（元/平米）</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备注（品牌）</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铝锭19000元/吨，铝锭每波动500元/吨，单价如何调整</w:t>
            </w:r>
          </w:p>
        </w:tc>
      </w:tr>
      <w:tr>
        <w:tblPrEx>
          <w:tblCellMar>
            <w:top w:w="0" w:type="dxa"/>
            <w:left w:w="0" w:type="dxa"/>
            <w:bottom w:w="0" w:type="dxa"/>
            <w:right w:w="0" w:type="dxa"/>
          </w:tblCellMar>
        </w:tblPrEx>
        <w:trPr>
          <w:trHeight w:val="285" w:hRule="atLeast"/>
        </w:trPr>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3mm，类似JG-YB-LB-001</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3003-H14/24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氟碳油漆，3涂，国产要求Kynar@500氟碳树脂含量不低于70%，AAMA2605  常规膜厚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3mm</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2mm</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粉末，国标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开槽</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5" w:hRule="atLeast"/>
        </w:trPr>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通长焊</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spacing w:line="360" w:lineRule="auto"/>
        <w:rPr>
          <w:rFonts w:hint="eastAsia" w:ascii="宋体" w:hAnsi="宋体"/>
          <w:sz w:val="24"/>
          <w:lang w:val="en-US" w:eastAsia="zh-CN"/>
        </w:rPr>
      </w:pPr>
      <w:r>
        <w:rPr>
          <w:rFonts w:hint="eastAsia" w:ascii="宋体" w:hAnsi="宋体"/>
          <w:sz w:val="24"/>
          <w:lang w:val="en-US" w:eastAsia="zh-CN"/>
        </w:rPr>
        <w:t xml:space="preserve"> </w:t>
      </w:r>
    </w:p>
    <w:p>
      <w:pPr>
        <w:spacing w:line="360" w:lineRule="auto"/>
        <w:rPr>
          <w:rFonts w:hint="eastAsia" w:ascii="宋体" w:hAnsi="宋体"/>
          <w:sz w:val="24"/>
        </w:rPr>
      </w:pPr>
      <w:r>
        <w:rPr>
          <w:rFonts w:hint="eastAsia" w:ascii="宋体" w:hAnsi="宋体"/>
          <w:sz w:val="24"/>
        </w:rPr>
        <w:t>说明:</w:t>
      </w:r>
    </w:p>
    <w:p>
      <w:pPr>
        <w:spacing w:line="360" w:lineRule="auto"/>
        <w:rPr>
          <w:rFonts w:hint="eastAsia" w:ascii="宋体" w:hAnsi="宋体"/>
          <w:sz w:val="24"/>
        </w:rPr>
      </w:pPr>
      <w:r>
        <w:rPr>
          <w:rFonts w:hint="eastAsia" w:ascii="宋体" w:hAnsi="宋体"/>
          <w:sz w:val="24"/>
          <w:lang w:val="en-US" w:eastAsia="zh-CN"/>
        </w:rPr>
        <w:t>1.以上单价为</w:t>
      </w:r>
      <w:r>
        <w:rPr>
          <w:rFonts w:hint="eastAsia" w:ascii="宋体" w:hAnsi="宋体" w:cs="宋体"/>
          <w:sz w:val="24"/>
          <w:szCs w:val="24"/>
        </w:rPr>
        <w:t>平板</w:t>
      </w:r>
      <w:r>
        <w:rPr>
          <w:rFonts w:hint="eastAsia" w:ascii="宋体" w:hAnsi="宋体" w:cs="宋体"/>
          <w:sz w:val="24"/>
          <w:szCs w:val="24"/>
          <w:lang w:eastAsia="zh-CN"/>
        </w:rPr>
        <w:t>单</w:t>
      </w:r>
      <w:r>
        <w:rPr>
          <w:rFonts w:hint="eastAsia" w:ascii="宋体" w:hAnsi="宋体"/>
          <w:sz w:val="24"/>
          <w:lang w:val="en-US" w:eastAsia="zh-CN"/>
        </w:rPr>
        <w:t>价，折弯刀数≥6刀或展开非矩形板为普通异形板，普通异形板、弧形板在平板单价基础上增加   元</w:t>
      </w:r>
      <w:r>
        <w:rPr>
          <w:rFonts w:hint="eastAsia" w:ascii="宋体" w:hAnsi="宋体" w:cs="宋体"/>
          <w:szCs w:val="21"/>
          <w:lang w:val="en-US" w:eastAsia="zh-CN"/>
        </w:rPr>
        <w:t>。</w:t>
      </w:r>
      <w:r>
        <w:rPr>
          <w:rFonts w:hint="eastAsia" w:ascii="宋体" w:hAnsi="宋体"/>
          <w:sz w:val="24"/>
          <w:lang w:val="en-US" w:eastAsia="zh-CN"/>
        </w:rPr>
        <w:t>铝板宽度</w:t>
      </w:r>
      <w:r>
        <w:rPr>
          <w:rFonts w:hint="eastAsia" w:ascii="宋体" w:hAnsi="宋体" w:eastAsia="宋体" w:cs="宋体"/>
          <w:sz w:val="24"/>
          <w:lang w:val="en-US" w:eastAsia="zh-CN"/>
        </w:rPr>
        <w:t>&gt;</w:t>
      </w:r>
      <w:r>
        <w:rPr>
          <w:rFonts w:hint="eastAsia" w:ascii="宋体" w:hAnsi="宋体"/>
          <w:sz w:val="24"/>
          <w:lang w:val="en-US" w:eastAsia="zh-CN"/>
        </w:rPr>
        <w:t>1600mm为超宽板，宽度每增加100mm，单价增加   元。以上单价含材料费、加工费、油漆费、损耗费、至甲方指定工地运费、包装费、装车费、13%增值税专用发票税金等相关费用（</w:t>
      </w:r>
      <w:r>
        <w:rPr>
          <w:rFonts w:hint="eastAsia" w:ascii="宋体" w:hAnsi="宋体"/>
          <w:sz w:val="24"/>
          <w:lang w:val="zh-CN" w:eastAsia="zh-CN"/>
        </w:rPr>
        <w:t>合同履行过程中，遇国家税率发生变化，则合同约定的不含税单价不变，税金、含税单价和合同金额应按调整后税率进行变更</w:t>
      </w:r>
      <w:r>
        <w:rPr>
          <w:rFonts w:hint="eastAsia" w:ascii="宋体" w:hAnsi="宋体"/>
          <w:sz w:val="24"/>
          <w:lang w:val="en-US" w:eastAsia="zh-CN"/>
        </w:rPr>
        <w:t>）。</w:t>
      </w:r>
    </w:p>
    <w:p>
      <w:pPr>
        <w:spacing w:line="360" w:lineRule="auto"/>
        <w:rPr>
          <w:rFonts w:hint="default" w:ascii="宋体" w:hAnsi="宋体"/>
          <w:sz w:val="24"/>
          <w:lang w:val="en-US" w:eastAsia="zh-CN"/>
        </w:rPr>
      </w:pPr>
      <w:r>
        <w:rPr>
          <w:rFonts w:hint="eastAsia" w:ascii="宋体" w:hAnsi="宋体"/>
          <w:sz w:val="24"/>
          <w:lang w:val="en-US" w:eastAsia="zh-CN"/>
        </w:rPr>
        <w:t>2.</w:t>
      </w:r>
      <w:bookmarkStart w:id="0" w:name="OLE_LINK1"/>
      <w:bookmarkStart w:id="1" w:name="OLE_LINK2"/>
      <w:r>
        <w:rPr>
          <w:rFonts w:hint="eastAsia" w:ascii="宋体" w:hAnsi="宋体"/>
          <w:sz w:val="24"/>
          <w:lang w:val="en-US" w:eastAsia="zh-CN"/>
        </w:rPr>
        <w:t>本产品使用国产优质铝板 3003系列 ，符合 GB-T3880-2006  标准。</w:t>
      </w:r>
      <w:r>
        <w:rPr>
          <w:rFonts w:hint="eastAsia" w:ascii="宋体" w:hAnsi="宋体" w:cs="宋体"/>
          <w:sz w:val="24"/>
          <w:szCs w:val="24"/>
          <w:u w:val="none"/>
        </w:rPr>
        <w:t>所有铝单板正表面均按甲方要求进行喷涂；涂层按甲方设计要求</w:t>
      </w:r>
      <w:r>
        <w:rPr>
          <w:rFonts w:hint="eastAsia" w:ascii="宋体" w:hAnsi="宋体" w:cs="宋体"/>
          <w:sz w:val="24"/>
          <w:szCs w:val="24"/>
          <w:u w:val="none"/>
          <w:lang w:eastAsia="zh-CN"/>
        </w:rPr>
        <w:t>。</w:t>
      </w:r>
      <w:r>
        <w:rPr>
          <w:rFonts w:hint="eastAsia" w:ascii="宋体" w:hAnsi="宋体"/>
          <w:sz w:val="24"/>
          <w:lang w:val="en-US" w:eastAsia="zh-CN"/>
        </w:rPr>
        <w:t>槽形加强筋尺寸38*20*2.5mm，间距为 600 mm（如改用常规筋，单价上/下浮动   元/平方米），常规角码，规格宽40mm，挂面20或25mm。</w:t>
      </w:r>
    </w:p>
    <w:p>
      <w:pPr>
        <w:spacing w:line="360" w:lineRule="auto"/>
        <w:rPr>
          <w:rFonts w:hint="eastAsia" w:ascii="宋体" w:hAnsi="宋体"/>
          <w:sz w:val="24"/>
          <w:lang w:val="en-US" w:eastAsia="zh-CN"/>
        </w:rPr>
      </w:pPr>
      <w:r>
        <w:rPr>
          <w:rFonts w:hint="eastAsia" w:ascii="宋体" w:hAnsi="宋体"/>
          <w:sz w:val="24"/>
          <w:lang w:val="en-US" w:eastAsia="zh-CN"/>
        </w:rPr>
        <w:t>3.</w:t>
      </w:r>
      <w:bookmarkEnd w:id="0"/>
      <w:bookmarkEnd w:id="1"/>
      <w:r>
        <w:rPr>
          <w:rFonts w:hint="eastAsia" w:ascii="宋体" w:hAnsi="宋体"/>
          <w:sz w:val="24"/>
          <w:lang w:val="en-US" w:eastAsia="zh-CN"/>
        </w:rPr>
        <w:t>铝板按见光面积计算，折边不超过25mm不计算面积，折边大于25mm则计算超出25mm以外面积,折边40mm以上的不扣除，全部计算面积。</w:t>
      </w:r>
    </w:p>
    <w:p>
      <w:pPr>
        <w:spacing w:line="360" w:lineRule="auto"/>
        <w:rPr>
          <w:rFonts w:hint="eastAsia" w:ascii="宋体" w:hAnsi="宋体"/>
          <w:sz w:val="24"/>
          <w:lang w:val="zh-CN"/>
        </w:rPr>
      </w:pPr>
      <w:r>
        <w:rPr>
          <w:rFonts w:hint="eastAsia" w:ascii="宋体" w:hAnsi="宋体"/>
          <w:sz w:val="24"/>
          <w:lang w:val="en-US" w:eastAsia="zh-CN"/>
        </w:rPr>
        <w:t>4.</w:t>
      </w:r>
      <w:r>
        <w:rPr>
          <w:rFonts w:hint="eastAsia" w:ascii="宋体" w:hAnsi="宋体"/>
          <w:sz w:val="24"/>
          <w:lang w:val="zh-CN"/>
        </w:rPr>
        <w:t>以上报价为常规色（具体以双方确认封样为准），其他鲜艳色及特殊颜色价格另议；</w:t>
      </w:r>
    </w:p>
    <w:p>
      <w:pPr>
        <w:spacing w:line="360" w:lineRule="auto"/>
        <w:rPr>
          <w:rFonts w:hint="default" w:ascii="宋体" w:hAnsi="宋体"/>
          <w:sz w:val="21"/>
          <w:szCs w:val="21"/>
          <w:lang w:val="en-US" w:eastAsia="zh-CN"/>
        </w:rPr>
      </w:pPr>
      <w:r>
        <w:rPr>
          <w:rFonts w:hint="eastAsia" w:ascii="宋体" w:hAnsi="宋体"/>
          <w:sz w:val="24"/>
          <w:lang w:val="en-US" w:eastAsia="zh-CN"/>
        </w:rPr>
        <w:t>5.</w:t>
      </w:r>
      <w:r>
        <w:rPr>
          <w:rFonts w:hint="eastAsia" w:ascii="宋体" w:hAnsi="宋体"/>
          <w:color w:val="000000"/>
          <w:sz w:val="24"/>
          <w:szCs w:val="24"/>
        </w:rPr>
        <w:t>乙方需使用甲方提供的方大专用保护膜和乙方自购气泡膜包装，边角用防震轻质量材料包裹，防划伤碰伤,</w:t>
      </w:r>
      <w:r>
        <w:rPr>
          <w:rFonts w:hint="eastAsia" w:ascii="宋体" w:hAnsi="宋体"/>
          <w:color w:val="000000"/>
          <w:sz w:val="24"/>
          <w:szCs w:val="24"/>
          <w:lang w:val="en-US" w:eastAsia="zh-CN"/>
        </w:rPr>
        <w:t>保护膜(5s规格)甲方按照1元/平米销售给乙方</w:t>
      </w:r>
      <w:r>
        <w:rPr>
          <w:rFonts w:hint="eastAsia" w:ascii="宋体" w:hAnsi="宋体"/>
          <w:sz w:val="21"/>
          <w:szCs w:val="21"/>
          <w:lang w:val="en-US" w:eastAsia="zh-CN"/>
        </w:rPr>
        <w:t>。</w:t>
      </w:r>
    </w:p>
    <w:p>
      <w:pPr>
        <w:numPr>
          <w:ilvl w:val="0"/>
          <w:numId w:val="0"/>
        </w:numPr>
        <w:spacing w:line="360" w:lineRule="auto"/>
        <w:rPr>
          <w:rFonts w:hint="eastAsia" w:ascii="宋体" w:hAnsi="宋体"/>
          <w:sz w:val="24"/>
        </w:rPr>
      </w:pPr>
      <w:r>
        <w:rPr>
          <w:rFonts w:hint="eastAsia" w:ascii="宋体" w:hAnsi="宋体"/>
          <w:sz w:val="24"/>
          <w:lang w:val="en-US" w:eastAsia="zh-CN"/>
        </w:rPr>
        <w:t>6.</w:t>
      </w:r>
      <w:r>
        <w:rPr>
          <w:rFonts w:hint="eastAsia" w:ascii="宋体" w:hAnsi="宋体"/>
          <w:sz w:val="24"/>
          <w:lang w:eastAsia="zh-CN"/>
        </w:rPr>
        <w:t>以上价格含到</w:t>
      </w:r>
      <w:r>
        <w:rPr>
          <w:rFonts w:hint="eastAsia" w:ascii="宋体" w:hAnsi="宋体"/>
          <w:sz w:val="24"/>
          <w:u w:val="single"/>
          <w:lang w:val="en-US" w:eastAsia="zh-CN"/>
        </w:rPr>
        <w:t xml:space="preserve">  </w:t>
      </w:r>
      <w:r>
        <w:rPr>
          <w:rFonts w:hint="eastAsia" w:ascii="宋体" w:hAnsi="宋体"/>
          <w:color w:val="FF0000"/>
          <w:sz w:val="24"/>
          <w:highlight w:val="none"/>
          <w:u w:val="single"/>
          <w:lang w:val="en-US" w:eastAsia="zh-CN"/>
        </w:rPr>
        <w:t>西宁</w:t>
      </w:r>
      <w:r>
        <w:rPr>
          <w:rFonts w:hint="eastAsia" w:ascii="宋体" w:hAnsi="宋体"/>
          <w:sz w:val="24"/>
          <w:u w:val="none"/>
          <w:lang w:val="en-US" w:eastAsia="zh-CN"/>
        </w:rPr>
        <w:t>工地运费。</w:t>
      </w:r>
    </w:p>
    <w:p>
      <w:pPr>
        <w:spacing w:line="360" w:lineRule="auto"/>
        <w:rPr>
          <w:rFonts w:hint="default" w:ascii="宋体" w:hAnsi="宋体" w:eastAsia="宋体"/>
          <w:sz w:val="24"/>
          <w:lang w:val="en-US"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2023年5月24日</w:t>
      </w:r>
    </w:p>
    <w:p>
      <w:pPr>
        <w:rPr>
          <w:rFonts w:hint="eastAsia"/>
          <w:b/>
          <w:sz w:val="24"/>
        </w:rPr>
      </w:pPr>
      <w:r>
        <w:rPr>
          <w:rFonts w:hint="eastAsia" w:ascii="宋体" w:hAnsi="宋体"/>
          <w:sz w:val="24"/>
        </w:rPr>
        <w:t>招标</w:t>
      </w:r>
      <w:r>
        <w:rPr>
          <w:rFonts w:hint="eastAsia"/>
          <w:b/>
          <w:sz w:val="24"/>
        </w:rPr>
        <w:t>附件2</w:t>
      </w:r>
    </w:p>
    <w:p>
      <w:pPr>
        <w:spacing w:line="360" w:lineRule="auto"/>
        <w:jc w:val="center"/>
        <w:rPr>
          <w:rFonts w:hint="eastAsia"/>
          <w:b/>
          <w:sz w:val="32"/>
        </w:rPr>
      </w:pPr>
      <w:r>
        <w:rPr>
          <w:rFonts w:hint="eastAsia"/>
          <w:b/>
          <w:sz w:val="32"/>
        </w:rPr>
        <w:t>材料供应综合表</w:t>
      </w:r>
    </w:p>
    <w:p>
      <w:pPr>
        <w:spacing w:line="360" w:lineRule="auto"/>
        <w:jc w:val="both"/>
        <w:rPr>
          <w:rFonts w:hint="eastAsia"/>
          <w:sz w:val="36"/>
        </w:rPr>
      </w:pPr>
      <w:r>
        <w:rPr>
          <w:rFonts w:hint="eastAsia"/>
          <w:sz w:val="24"/>
        </w:rPr>
        <w:t>供应单位（盖章）：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5114"/>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535" w:type="dxa"/>
            <w:noWrap w:val="0"/>
            <w:vAlign w:val="center"/>
          </w:tcPr>
          <w:p>
            <w:pPr>
              <w:spacing w:line="360" w:lineRule="auto"/>
              <w:jc w:val="center"/>
              <w:rPr>
                <w:rFonts w:hint="eastAsia"/>
                <w:szCs w:val="21"/>
              </w:rPr>
            </w:pPr>
            <w:r>
              <w:rPr>
                <w:rFonts w:hint="eastAsia"/>
                <w:szCs w:val="21"/>
              </w:rPr>
              <w:t>项次</w:t>
            </w:r>
          </w:p>
        </w:tc>
        <w:tc>
          <w:tcPr>
            <w:tcW w:w="5114" w:type="dxa"/>
            <w:noWrap w:val="0"/>
            <w:vAlign w:val="center"/>
          </w:tcPr>
          <w:p>
            <w:pPr>
              <w:spacing w:line="360" w:lineRule="auto"/>
              <w:jc w:val="center"/>
              <w:rPr>
                <w:rFonts w:hint="eastAsia" w:eastAsia="宋体"/>
                <w:szCs w:val="21"/>
                <w:lang w:eastAsia="zh-CN"/>
              </w:rPr>
            </w:pPr>
            <w:r>
              <w:rPr>
                <w:rFonts w:hint="eastAsia"/>
                <w:szCs w:val="21"/>
                <w:lang w:eastAsia="zh-CN"/>
              </w:rPr>
              <w:t>氟碳铝单板</w:t>
            </w:r>
          </w:p>
        </w:tc>
        <w:tc>
          <w:tcPr>
            <w:tcW w:w="2432" w:type="dxa"/>
            <w:noWrap w:val="0"/>
            <w:vAlign w:val="center"/>
          </w:tcPr>
          <w:p>
            <w:pPr>
              <w:spacing w:line="360" w:lineRule="auto"/>
              <w:jc w:val="center"/>
              <w:rPr>
                <w:rFonts w:hint="eastAsia"/>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2535" w:type="dxa"/>
            <w:noWrap w:val="0"/>
            <w:vAlign w:val="center"/>
          </w:tcPr>
          <w:p>
            <w:pPr>
              <w:spacing w:line="360" w:lineRule="auto"/>
              <w:jc w:val="center"/>
              <w:rPr>
                <w:rFonts w:hint="eastAsia"/>
                <w:szCs w:val="21"/>
              </w:rPr>
            </w:pPr>
            <w:r>
              <w:rPr>
                <w:rFonts w:hint="eastAsia"/>
                <w:szCs w:val="21"/>
              </w:rPr>
              <w:t>单项报价</w:t>
            </w:r>
          </w:p>
        </w:tc>
        <w:tc>
          <w:tcPr>
            <w:tcW w:w="5114" w:type="dxa"/>
            <w:noWrap w:val="0"/>
            <w:vAlign w:val="center"/>
          </w:tcPr>
          <w:p>
            <w:pPr>
              <w:spacing w:line="360" w:lineRule="auto"/>
              <w:jc w:val="center"/>
              <w:rPr>
                <w:rFonts w:hint="eastAsia"/>
                <w:szCs w:val="21"/>
              </w:rPr>
            </w:pPr>
            <w:r>
              <w:rPr>
                <w:rFonts w:hint="eastAsia"/>
                <w:szCs w:val="21"/>
              </w:rPr>
              <w:t>提交</w:t>
            </w:r>
            <w:r>
              <w:rPr>
                <w:rFonts w:hint="eastAsia"/>
                <w:szCs w:val="21"/>
                <w:lang w:eastAsia="zh-CN"/>
              </w:rPr>
              <w:t>氟碳</w:t>
            </w:r>
            <w:r>
              <w:rPr>
                <w:rFonts w:hint="eastAsia"/>
                <w:szCs w:val="21"/>
              </w:rPr>
              <w:t>铝</w:t>
            </w:r>
            <w:r>
              <w:rPr>
                <w:rFonts w:hint="eastAsia"/>
                <w:szCs w:val="21"/>
                <w:lang w:eastAsia="zh-CN"/>
              </w:rPr>
              <w:t>单</w:t>
            </w:r>
            <w:r>
              <w:rPr>
                <w:rFonts w:hint="eastAsia"/>
                <w:szCs w:val="21"/>
              </w:rPr>
              <w:t>板各规格报价，投标方另行附页详细报价并加盖公章并且注明执行的标准。</w:t>
            </w:r>
          </w:p>
        </w:tc>
        <w:tc>
          <w:tcPr>
            <w:tcW w:w="2432" w:type="dxa"/>
            <w:noWrap w:val="0"/>
            <w:vAlign w:val="center"/>
          </w:tcPr>
          <w:p>
            <w:pPr>
              <w:spacing w:line="360" w:lineRule="auto"/>
              <w:jc w:val="center"/>
              <w:rPr>
                <w:rFonts w:hint="eastAsia"/>
                <w:szCs w:val="21"/>
              </w:rPr>
            </w:pPr>
            <w:r>
              <w:rPr>
                <w:rFonts w:hint="eastAsia"/>
                <w:szCs w:val="21"/>
              </w:rPr>
              <w:t>含税、指定工地交货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2535" w:type="dxa"/>
            <w:tcBorders>
              <w:bottom w:val="single" w:color="auto" w:sz="4" w:space="0"/>
            </w:tcBorders>
            <w:noWrap w:val="0"/>
            <w:vAlign w:val="center"/>
          </w:tcPr>
          <w:p>
            <w:pPr>
              <w:spacing w:line="360" w:lineRule="auto"/>
              <w:jc w:val="center"/>
              <w:rPr>
                <w:rFonts w:hint="eastAsia"/>
                <w:szCs w:val="21"/>
              </w:rPr>
            </w:pPr>
            <w:r>
              <w:rPr>
                <w:rFonts w:hint="eastAsia"/>
                <w:szCs w:val="21"/>
              </w:rPr>
              <w:t>报价含税</w:t>
            </w:r>
          </w:p>
        </w:tc>
        <w:tc>
          <w:tcPr>
            <w:tcW w:w="7546" w:type="dxa"/>
            <w:gridSpan w:val="2"/>
            <w:tcBorders>
              <w:bottom w:val="single" w:color="auto" w:sz="4" w:space="0"/>
            </w:tcBorders>
            <w:noWrap w:val="0"/>
            <w:vAlign w:val="center"/>
          </w:tcPr>
          <w:p>
            <w:pPr>
              <w:tabs>
                <w:tab w:val="left" w:pos="2175"/>
              </w:tabs>
              <w:spacing w:line="360" w:lineRule="auto"/>
              <w:rPr>
                <w:rFonts w:hint="eastAsia"/>
                <w:szCs w:val="21"/>
              </w:rPr>
            </w:pPr>
            <w:r>
              <w:rPr>
                <w:szCs w:val="21"/>
              </w:rPr>
              <mc:AlternateContent>
                <mc:Choice Requires="wps">
                  <w:drawing>
                    <wp:anchor distT="0" distB="0" distL="114300" distR="114300" simplePos="0" relativeHeight="251661312" behindDoc="0" locked="0" layoutInCell="1" allowOverlap="1">
                      <wp:simplePos x="0" y="0"/>
                      <wp:positionH relativeFrom="column">
                        <wp:posOffset>1639570</wp:posOffset>
                      </wp:positionH>
                      <wp:positionV relativeFrom="paragraph">
                        <wp:posOffset>73025</wp:posOffset>
                      </wp:positionV>
                      <wp:extent cx="161925" cy="161925"/>
                      <wp:effectExtent l="4445" t="4445" r="5080" b="5080"/>
                      <wp:wrapNone/>
                      <wp:docPr id="3" name="Rectangle 3"/>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 3" o:spid="_x0000_s1026" o:spt="1" style="position:absolute;left:0pt;margin-left:129.1pt;margin-top:5.75pt;height:12.75pt;width:12.75pt;z-index:251661312;mso-width-relative:page;mso-height-relative:page;" fillcolor="#FFFFFF" filled="t" stroked="t" coordsize="21600,21600" o:gfxdata="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pveqD1wAAAAkB&#10;AAAPAAAAAAAAAAEAIAAAACIAAABkcnMvZG93bnJldi54bWxQSwECFAAUAAAACACHTuJAYcMyHOMB&#10;AADrAwAADgAAAAAAAAABACAAAAAmAQAAZHJzL2Uyb0RvYy54bWxQSwUGAAAAAAYABgBZAQAAewUA&#10;AAAA&#10;">
                      <v:fill on="t" focussize="0,0"/>
                      <v:stroke color="#000000" joinstyle="miter"/>
                      <v:imagedata o:title=""/>
                      <o:lock v:ext="edit" aspectratio="f"/>
                      <v:textbox>
                        <w:txbxContent>
                          <w:p/>
                        </w:txbxContent>
                      </v:textbox>
                    </v:rect>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668020</wp:posOffset>
                      </wp:positionH>
                      <wp:positionV relativeFrom="paragraph">
                        <wp:posOffset>71755</wp:posOffset>
                      </wp:positionV>
                      <wp:extent cx="161925" cy="161925"/>
                      <wp:effectExtent l="4445" t="4445" r="5080" b="5080"/>
                      <wp:wrapNone/>
                      <wp:docPr id="2" name="Rectangle 2"/>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 2" o:spid="_x0000_s1026" o:spt="1" style="position:absolute;left:0pt;margin-left:52.6pt;margin-top:5.65pt;height:12.75pt;width:12.75pt;z-index:251660288;mso-width-relative:page;mso-height-relative:page;" fillcolor="#FFFFFF" filled="t" stroked="t" coordsize="21600,21600" o:gfxdata="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tzp19YAAAAJAQAA&#10;DwAAAAAAAAABACAAAAAiAAAAZHJzL2Rvd25yZXYueG1sUEsBAhQAFAAAAAgAh07iQLALmmziAQAA&#10;6wMAAA4AAAAAAAAAAQAgAAAAJQEAAGRycy9lMm9Eb2MueG1sUEsFBgAAAAAGAAYAWQEAAHkFAAAA&#10;AA==&#10;">
                      <v:fill on="t" focussize="0,0"/>
                      <v:stroke color="#000000" joinstyle="miter"/>
                      <v:imagedata o:title=""/>
                      <o:lock v:ext="edit" aspectratio="f"/>
                      <v:textbox>
                        <w:txbxContent>
                          <w:p/>
                        </w:txbxContent>
                      </v:textbox>
                    </v:rect>
                  </w:pict>
                </mc:Fallback>
              </mc:AlternateContent>
            </w:r>
            <w:r>
              <w:rPr>
                <w:rFonts w:hint="eastAsia"/>
                <w:szCs w:val="21"/>
              </w:rPr>
              <w:t xml:space="preserve">普通国税      增值税     </w:t>
            </w:r>
            <w:r>
              <w:rPr>
                <w:rFonts w:hint="eastAsia"/>
                <w:szCs w:val="21"/>
                <w:lang w:eastAsia="zh-CN"/>
              </w:rPr>
              <w:t>13</w:t>
            </w:r>
            <w:r>
              <w:rPr>
                <w:rFonts w:hint="eastAsia"/>
                <w:szCs w:val="21"/>
              </w:rPr>
              <w:t>％增值税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2535" w:type="dxa"/>
            <w:noWrap w:val="0"/>
            <w:vAlign w:val="center"/>
          </w:tcPr>
          <w:p>
            <w:pPr>
              <w:spacing w:line="360" w:lineRule="auto"/>
              <w:jc w:val="center"/>
              <w:rPr>
                <w:rFonts w:hint="eastAsia"/>
                <w:szCs w:val="21"/>
              </w:rPr>
            </w:pPr>
            <w:r>
              <w:rPr>
                <w:rFonts w:hint="eastAsia"/>
                <w:szCs w:val="21"/>
              </w:rPr>
              <w:t>付款条款</w:t>
            </w:r>
          </w:p>
        </w:tc>
        <w:tc>
          <w:tcPr>
            <w:tcW w:w="7546" w:type="dxa"/>
            <w:gridSpan w:val="2"/>
            <w:noWrap w:val="0"/>
            <w:vAlign w:val="center"/>
          </w:tcPr>
          <w:p>
            <w:pPr>
              <w:widowControl w:val="0"/>
              <w:autoSpaceDE w:val="0"/>
              <w:autoSpaceDN w:val="0"/>
              <w:adjustRightInd w:val="0"/>
              <w:spacing w:line="360" w:lineRule="auto"/>
              <w:ind w:firstLine="480" w:firstLineChars="200"/>
              <w:rPr>
                <w:rFonts w:ascii="宋体"/>
                <w:color w:val="000000"/>
                <w:sz w:val="24"/>
                <w:lang w:val="zh-CN"/>
              </w:rPr>
            </w:pPr>
            <w:r>
              <w:rPr>
                <w:rFonts w:hint="eastAsia" w:ascii="宋体" w:hAnsi="宋体"/>
                <w:color w:val="000000"/>
                <w:kern w:val="2"/>
                <w:sz w:val="24"/>
              </w:rPr>
              <w:t>1、</w:t>
            </w:r>
            <w:r>
              <w:rPr>
                <w:rFonts w:ascii="宋体" w:hAnsi="宋体" w:eastAsia="宋体" w:cs="宋体"/>
                <w:sz w:val="24"/>
                <w:szCs w:val="24"/>
                <w:highlight w:val="none"/>
              </w:rPr>
              <w:t>无预付款，</w:t>
            </w:r>
            <w:r>
              <w:rPr>
                <w:rFonts w:hint="eastAsia" w:ascii="宋体" w:hAnsi="宋体" w:cs="宋体"/>
                <w:sz w:val="24"/>
                <w:szCs w:val="24"/>
                <w:u w:val="none"/>
              </w:rPr>
              <w:t>每月</w:t>
            </w:r>
            <w:r>
              <w:rPr>
                <w:rFonts w:ascii="宋体" w:hAnsi="宋体" w:cs="宋体"/>
                <w:sz w:val="24"/>
                <w:szCs w:val="24"/>
                <w:u w:val="none"/>
              </w:rPr>
              <w:t>23日核对上月22日至当月23日的发货数量及金额，甲乙双方在本月25日前完成对账事宜，乙方27日前开具对账等额的增值税专用发票（税率13%）给甲方，甲方于次月30/31日前支付上月账单金额的85%。在此期间乙方应保证正常发货。剩余部分货款在批量铝板供货完毕后三个月</w:t>
            </w:r>
            <w:r>
              <w:rPr>
                <w:rFonts w:hint="eastAsia" w:ascii="宋体" w:hAnsi="宋体" w:cs="宋体"/>
                <w:sz w:val="24"/>
                <w:szCs w:val="24"/>
                <w:u w:val="none"/>
              </w:rPr>
              <w:t>内</w:t>
            </w:r>
            <w:r>
              <w:rPr>
                <w:rFonts w:ascii="宋体" w:hAnsi="宋体" w:cs="宋体"/>
                <w:sz w:val="24"/>
                <w:szCs w:val="24"/>
                <w:u w:val="none"/>
              </w:rPr>
              <w:t>，付至总货款金额的9</w:t>
            </w:r>
            <w:r>
              <w:rPr>
                <w:rFonts w:hint="eastAsia" w:ascii="宋体" w:hAnsi="宋体" w:cs="宋体"/>
                <w:sz w:val="24"/>
                <w:szCs w:val="24"/>
                <w:u w:val="none"/>
              </w:rPr>
              <w:t>5</w:t>
            </w:r>
            <w:r>
              <w:rPr>
                <w:rFonts w:ascii="宋体" w:hAnsi="宋体" w:cs="宋体"/>
                <w:sz w:val="24"/>
                <w:szCs w:val="24"/>
                <w:u w:val="none"/>
              </w:rPr>
              <w:t>%。剩余</w:t>
            </w:r>
            <w:r>
              <w:rPr>
                <w:rFonts w:hint="eastAsia" w:ascii="宋体" w:hAnsi="宋体" w:cs="宋体"/>
                <w:sz w:val="24"/>
                <w:szCs w:val="24"/>
                <w:u w:val="none"/>
              </w:rPr>
              <w:t>5</w:t>
            </w:r>
            <w:r>
              <w:rPr>
                <w:rFonts w:ascii="宋体" w:hAnsi="宋体" w:cs="宋体"/>
                <w:sz w:val="24"/>
                <w:szCs w:val="24"/>
                <w:u w:val="none"/>
              </w:rPr>
              <w:t>%在项目完工后</w:t>
            </w:r>
            <w:r>
              <w:rPr>
                <w:rFonts w:hint="eastAsia" w:ascii="宋体" w:hAnsi="宋体" w:cs="宋体"/>
                <w:sz w:val="24"/>
                <w:szCs w:val="24"/>
                <w:u w:val="none"/>
              </w:rPr>
              <w:t>6个月</w:t>
            </w:r>
            <w:r>
              <w:rPr>
                <w:rFonts w:ascii="宋体" w:hAnsi="宋体" w:cs="宋体"/>
                <w:sz w:val="24"/>
                <w:szCs w:val="24"/>
                <w:u w:val="none"/>
              </w:rPr>
              <w:t>内付清。</w:t>
            </w:r>
            <w:r>
              <w:rPr>
                <w:rFonts w:ascii="宋体" w:hAnsi="宋体" w:eastAsia="宋体" w:cs="宋体"/>
                <w:sz w:val="24"/>
                <w:szCs w:val="24"/>
                <w:u w:val="none"/>
              </w:rPr>
              <w:t>  </w:t>
            </w:r>
            <w:r>
              <w:rPr>
                <w:rFonts w:ascii="宋体" w:hAnsi="宋体" w:eastAsia="宋体" w:cs="宋体"/>
                <w:sz w:val="24"/>
                <w:szCs w:val="24"/>
                <w:u w:val="none"/>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2、付款方式为6个月的银行承兑汇票</w:t>
            </w:r>
            <w:r>
              <w:rPr>
                <w:rFonts w:ascii="宋体" w:hAnsi="宋体" w:cs="宋体"/>
                <w:sz w:val="24"/>
                <w:szCs w:val="24"/>
                <w:u w:val="none"/>
              </w:rPr>
              <w:t xml:space="preserve">。  </w:t>
            </w:r>
          </w:p>
          <w:p>
            <w:pPr>
              <w:spacing w:line="360" w:lineRule="auto"/>
              <w:ind w:firstLine="480" w:firstLineChars="200"/>
              <w:jc w:val="left"/>
              <w:rPr>
                <w:rFonts w:hint="eastAsia"/>
                <w:szCs w:val="21"/>
              </w:rPr>
            </w:pPr>
            <w:r>
              <w:rPr>
                <w:rFonts w:hint="eastAsia" w:ascii="宋体"/>
                <w:color w:val="000000"/>
                <w:sz w:val="24"/>
              </w:rPr>
              <w:t>3</w:t>
            </w:r>
            <w:r>
              <w:rPr>
                <w:rFonts w:hint="eastAsia" w:ascii="宋体"/>
                <w:color w:val="000000"/>
                <w:sz w:val="24"/>
                <w:lang w:val="zh-CN"/>
              </w:rPr>
              <w:t>、乙方必须提供合法、有效的税务发票；若提供虚假发票而给甲方造成损失的，乙方将承担由此给甲方造成的全部损失，且甲方有权停止支付与其有关的全部款项，直至给甲方造成的损失全部得到弥补为止；若乙方提供虚假发票，一经发现，应立即无条件更换合法、有效发票；无论是否给甲方造成损失，甲方有权停止支付与虚假发票有关的工程全部款项，且乙方自动放弃追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2535" w:type="dxa"/>
            <w:vMerge w:val="restart"/>
            <w:noWrap w:val="0"/>
            <w:vAlign w:val="center"/>
          </w:tcPr>
          <w:p>
            <w:pPr>
              <w:spacing w:line="360" w:lineRule="auto"/>
              <w:jc w:val="center"/>
              <w:rPr>
                <w:rFonts w:hint="eastAsia"/>
                <w:szCs w:val="21"/>
              </w:rPr>
            </w:pPr>
            <w:r>
              <w:rPr>
                <w:rFonts w:hint="eastAsia"/>
                <w:szCs w:val="21"/>
              </w:rPr>
              <w:t>质量保证</w:t>
            </w:r>
          </w:p>
        </w:tc>
        <w:tc>
          <w:tcPr>
            <w:tcW w:w="7546" w:type="dxa"/>
            <w:gridSpan w:val="2"/>
            <w:tcBorders>
              <w:bottom w:val="single" w:color="auto" w:sz="4" w:space="0"/>
            </w:tcBorders>
            <w:noWrap w:val="0"/>
            <w:vAlign w:val="top"/>
          </w:tcPr>
          <w:p>
            <w:pPr>
              <w:spacing w:line="360" w:lineRule="auto"/>
              <w:rPr>
                <w:rFonts w:hint="eastAsia"/>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1153160</wp:posOffset>
                      </wp:positionH>
                      <wp:positionV relativeFrom="paragraph">
                        <wp:posOffset>81280</wp:posOffset>
                      </wp:positionV>
                      <wp:extent cx="161925" cy="161925"/>
                      <wp:effectExtent l="4445" t="4445" r="5080" b="5080"/>
                      <wp:wrapNone/>
                      <wp:docPr id="4" name="Rectangle 4"/>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 4" o:spid="_x0000_s1026" o:spt="1" style="position:absolute;left:0pt;margin-left:90.8pt;margin-top:6.4pt;height:12.75pt;width:12.75pt;z-index:251662336;mso-width-relative:page;mso-height-relative:page;" fillcolor="#FFFFFF" filled="t" stroked="t" coordsize="21600,21600" o:gfxdata="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SD+3DWAAAACQEA&#10;AA8AAAAAAAAAAQAgAAAAIgAAAGRycy9kb3ducmV2LnhtbFBLAQIUABQAAAAIAIdO4kAXvxmU4wEA&#10;AOsDAAAOAAAAAAAAAAEAIAAAACUBAABkcnMvZTJvRG9jLnhtbFBLBQYAAAAABgAGAFkBAAB6BQAA&#10;AAA=&#10;">
                      <v:fill on="t" focussize="0,0"/>
                      <v:stroke color="#000000" joinstyle="miter"/>
                      <v:imagedata o:title=""/>
                      <o:lock v:ext="edit" aspectratio="f"/>
                      <v:textbox>
                        <w:txbxContent>
                          <w:p/>
                        </w:txbxContent>
                      </v:textbox>
                    </v:rect>
                  </w:pict>
                </mc:Fallback>
              </mc:AlternateContent>
            </w:r>
            <w:r>
              <w:rPr>
                <w:rFonts w:hint="eastAsia"/>
                <w:szCs w:val="21"/>
              </w:rPr>
              <w:t xml:space="preserve">1、提供质量保证书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2535" w:type="dxa"/>
            <w:vMerge w:val="continue"/>
            <w:noWrap w:val="0"/>
            <w:vAlign w:val="top"/>
          </w:tcPr>
          <w:p>
            <w:pPr>
              <w:spacing w:line="360" w:lineRule="auto"/>
              <w:rPr>
                <w:rFonts w:hint="eastAsia"/>
                <w:szCs w:val="21"/>
              </w:rPr>
            </w:pPr>
          </w:p>
        </w:tc>
        <w:tc>
          <w:tcPr>
            <w:tcW w:w="7546" w:type="dxa"/>
            <w:gridSpan w:val="2"/>
            <w:noWrap w:val="0"/>
            <w:vAlign w:val="top"/>
          </w:tcPr>
          <w:p>
            <w:pPr>
              <w:pStyle w:val="13"/>
              <w:ind w:right="945" w:firstLine="0" w:firstLineChars="0"/>
              <w:rPr>
                <w:rFonts w:hint="eastAsia"/>
                <w:szCs w:val="21"/>
              </w:rPr>
            </w:pPr>
            <w:r>
              <w:rPr>
                <w:rFonts w:hint="eastAsia"/>
                <w:szCs w:val="21"/>
              </w:rPr>
              <w:t>2、其它：①             ②             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2535" w:type="dxa"/>
            <w:vMerge w:val="restart"/>
            <w:noWrap w:val="0"/>
            <w:vAlign w:val="center"/>
          </w:tcPr>
          <w:p>
            <w:pPr>
              <w:spacing w:line="360" w:lineRule="auto"/>
              <w:jc w:val="center"/>
              <w:rPr>
                <w:rFonts w:hint="eastAsia"/>
                <w:szCs w:val="21"/>
              </w:rPr>
            </w:pPr>
            <w:r>
              <w:rPr>
                <w:rFonts w:hint="eastAsia"/>
                <w:szCs w:val="21"/>
              </w:rPr>
              <w:t>售后服务</w:t>
            </w:r>
          </w:p>
        </w:tc>
        <w:tc>
          <w:tcPr>
            <w:tcW w:w="7546" w:type="dxa"/>
            <w:gridSpan w:val="2"/>
            <w:tcBorders>
              <w:bottom w:val="single" w:color="auto" w:sz="4" w:space="0"/>
            </w:tcBorders>
            <w:noWrap w:val="0"/>
            <w:vAlign w:val="top"/>
          </w:tcPr>
          <w:p>
            <w:pPr>
              <w:numPr>
                <w:ilvl w:val="0"/>
                <w:numId w:val="2"/>
              </w:numPr>
              <w:spacing w:line="360" w:lineRule="auto"/>
              <w:rPr>
                <w:rFonts w:hint="eastAsia"/>
                <w:szCs w:val="21"/>
              </w:rPr>
            </w:pPr>
            <w:r>
              <w:rPr>
                <w:rFonts w:hint="eastAsia"/>
                <w:szCs w:val="21"/>
              </w:rPr>
              <w:t>量投诉的反应时间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2535" w:type="dxa"/>
            <w:vMerge w:val="continue"/>
            <w:noWrap w:val="0"/>
            <w:vAlign w:val="top"/>
          </w:tcPr>
          <w:p>
            <w:pPr>
              <w:spacing w:line="360" w:lineRule="auto"/>
              <w:rPr>
                <w:szCs w:val="21"/>
              </w:rPr>
            </w:pPr>
          </w:p>
        </w:tc>
        <w:tc>
          <w:tcPr>
            <w:tcW w:w="7546" w:type="dxa"/>
            <w:gridSpan w:val="2"/>
            <w:noWrap w:val="0"/>
            <w:vAlign w:val="top"/>
          </w:tcPr>
          <w:p>
            <w:pPr>
              <w:pStyle w:val="13"/>
              <w:ind w:right="945" w:firstLine="0" w:firstLineChars="0"/>
              <w:rPr>
                <w:rFonts w:hint="eastAsia"/>
                <w:szCs w:val="21"/>
              </w:rPr>
            </w:pPr>
            <w:r>
              <w:rPr>
                <w:rFonts w:hint="eastAsia"/>
                <w:szCs w:val="21"/>
              </w:rPr>
              <w:t>2、其它：①              ②             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2535" w:type="dxa"/>
            <w:tcBorders>
              <w:bottom w:val="single" w:color="auto" w:sz="4" w:space="0"/>
            </w:tcBorders>
            <w:noWrap w:val="0"/>
            <w:vAlign w:val="center"/>
          </w:tcPr>
          <w:p>
            <w:pPr>
              <w:spacing w:line="360" w:lineRule="auto"/>
              <w:jc w:val="center"/>
              <w:rPr>
                <w:rFonts w:hint="eastAsia"/>
                <w:szCs w:val="21"/>
              </w:rPr>
            </w:pPr>
            <w:r>
              <w:rPr>
                <w:rFonts w:hint="eastAsia"/>
                <w:szCs w:val="21"/>
              </w:rPr>
              <w:t>供货时间</w:t>
            </w:r>
          </w:p>
        </w:tc>
        <w:tc>
          <w:tcPr>
            <w:tcW w:w="7546" w:type="dxa"/>
            <w:gridSpan w:val="2"/>
            <w:tcBorders>
              <w:bottom w:val="single" w:color="auto" w:sz="4" w:space="0"/>
            </w:tcBorders>
            <w:noWrap w:val="0"/>
            <w:vAlign w:val="top"/>
          </w:tcPr>
          <w:p>
            <w:pPr>
              <w:spacing w:line="360" w:lineRule="auto"/>
              <w:rPr>
                <w:rFonts w:hint="eastAsia"/>
                <w:szCs w:val="21"/>
              </w:rPr>
            </w:pPr>
            <w:r>
              <w:rPr>
                <w:rFonts w:hint="eastAsia"/>
                <w:szCs w:val="21"/>
              </w:rPr>
              <w:t>按订单数量送货，甲方下订单后</w:t>
            </w:r>
            <w:r>
              <w:rPr>
                <w:rFonts w:hint="eastAsia"/>
                <w:szCs w:val="21"/>
                <w:u w:val="single"/>
              </w:rPr>
              <w:t xml:space="preserve">            </w:t>
            </w:r>
            <w:r>
              <w:rPr>
                <w:rFonts w:hint="eastAsia"/>
                <w:szCs w:val="21"/>
              </w:rPr>
              <w:t>日内订单数量全部到达指定工地。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535" w:type="dxa"/>
            <w:noWrap w:val="0"/>
            <w:vAlign w:val="center"/>
          </w:tcPr>
          <w:p>
            <w:pPr>
              <w:spacing w:line="360" w:lineRule="auto"/>
              <w:jc w:val="center"/>
              <w:rPr>
                <w:rFonts w:hint="eastAsia"/>
                <w:szCs w:val="21"/>
              </w:rPr>
            </w:pPr>
            <w:r>
              <w:rPr>
                <w:rFonts w:hint="eastAsia"/>
                <w:szCs w:val="21"/>
              </w:rPr>
              <w:t>优惠承诺</w:t>
            </w:r>
          </w:p>
        </w:tc>
        <w:tc>
          <w:tcPr>
            <w:tcW w:w="7546" w:type="dxa"/>
            <w:gridSpan w:val="2"/>
            <w:noWrap w:val="0"/>
            <w:vAlign w:val="top"/>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535" w:type="dxa"/>
            <w:noWrap w:val="0"/>
            <w:vAlign w:val="center"/>
          </w:tcPr>
          <w:p>
            <w:pPr>
              <w:spacing w:line="360" w:lineRule="auto"/>
              <w:jc w:val="center"/>
              <w:rPr>
                <w:rFonts w:hint="eastAsia"/>
                <w:szCs w:val="21"/>
              </w:rPr>
            </w:pPr>
            <w:r>
              <w:rPr>
                <w:rFonts w:hint="eastAsia"/>
                <w:szCs w:val="21"/>
              </w:rPr>
              <w:t>其它需要说明事项或建议</w:t>
            </w:r>
          </w:p>
        </w:tc>
        <w:tc>
          <w:tcPr>
            <w:tcW w:w="7546" w:type="dxa"/>
            <w:gridSpan w:val="2"/>
            <w:noWrap w:val="0"/>
            <w:vAlign w:val="top"/>
          </w:tcPr>
          <w:p>
            <w:pPr>
              <w:spacing w:line="360" w:lineRule="auto"/>
              <w:rPr>
                <w:rFonts w:hint="eastAsia"/>
                <w:szCs w:val="21"/>
              </w:rPr>
            </w:pPr>
          </w:p>
        </w:tc>
      </w:tr>
    </w:tbl>
    <w:p>
      <w:pPr>
        <w:spacing w:line="360" w:lineRule="auto"/>
        <w:jc w:val="left"/>
        <w:rPr>
          <w:rFonts w:hint="eastAsia" w:ascii="宋体" w:hAnsi="宋体"/>
        </w:rPr>
      </w:pPr>
      <w: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80645</wp:posOffset>
                </wp:positionV>
                <wp:extent cx="161925" cy="161925"/>
                <wp:effectExtent l="4445" t="4445" r="5080" b="5080"/>
                <wp:wrapNone/>
                <wp:docPr id="1" name="Rectangle 6"/>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rect id="Rectangle 6" o:spid="_x0000_s1026" o:spt="1" style="position:absolute;left:0pt;margin-left:57.6pt;margin-top:6.35pt;height:12.75pt;width:12.75pt;z-index:251659264;mso-width-relative:page;mso-height-relative:page;" fillcolor="#FFFFFF" filled="t" stroked="t" coordsize="21600,21600" o:gfxdata="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HmaXNYAAAAJAQAA&#10;DwAAAAAAAAABACAAAAAiAAAAZHJzL2Rvd25yZXYueG1sUEsBAhQAFAAAAAgAh07iQOJ+Cv7iAQAA&#10;6wMAAA4AAAAAAAAAAQAgAAAAJQEAAGRycy9lMm9Eb2MueG1sUEsFBgAAAAAGAAYAWQEAAHkFAAAA&#10;AA==&#10;">
                <v:fill on="t" focussize="0,0"/>
                <v:stroke color="#000000" joinstyle="miter"/>
                <v:imagedata o:title=""/>
                <o:lock v:ext="edit" aspectratio="f"/>
                <v:textbox>
                  <w:txbxContent>
                    <w:p/>
                  </w:txbxContent>
                </v:textbox>
              </v:rect>
            </w:pict>
          </mc:Fallback>
        </mc:AlternateContent>
      </w:r>
      <w:r>
        <w:rPr>
          <w:rFonts w:hint="eastAsia"/>
        </w:rPr>
        <w:t>填表说明：      内打“</w:t>
      </w:r>
      <w:r>
        <w:rPr>
          <w:rFonts w:ascii="宋体" w:hAnsi="宋体"/>
        </w:rPr>
        <w:t>√</w:t>
      </w:r>
      <w:r>
        <w:rPr>
          <w:rFonts w:hint="eastAsia" w:ascii="宋体" w:hAnsi="宋体"/>
        </w:rPr>
        <w:t>”表示选择该项，不选择打“X”；“ ”填写数据，不选择则不填。</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b/>
          <w:sz w:val="24"/>
        </w:rPr>
      </w:pPr>
      <w:r>
        <w:rPr>
          <w:rFonts w:hint="eastAsia" w:ascii="宋体" w:hAnsi="宋体"/>
          <w:sz w:val="24"/>
        </w:rPr>
        <w:t>招标</w:t>
      </w:r>
      <w:r>
        <w:rPr>
          <w:rFonts w:hint="eastAsia"/>
          <w:b/>
          <w:sz w:val="24"/>
        </w:rPr>
        <w:t>附件3</w:t>
      </w:r>
    </w:p>
    <w:p>
      <w:pPr>
        <w:spacing w:line="360" w:lineRule="auto"/>
        <w:ind w:right="-57" w:rightChars="-27"/>
        <w:jc w:val="center"/>
        <w:rPr>
          <w:rFonts w:ascii="宋体" w:hAnsi="宋体"/>
          <w:b/>
          <w:sz w:val="32"/>
        </w:rPr>
      </w:pPr>
      <w:r>
        <w:rPr>
          <w:rFonts w:hint="eastAsia" w:ascii="宋体" w:hAnsi="宋体"/>
          <w:b/>
          <w:sz w:val="32"/>
        </w:rPr>
        <w:t>投标廉洁承诺书</w:t>
      </w:r>
    </w:p>
    <w:p>
      <w:pPr>
        <w:spacing w:line="360" w:lineRule="auto"/>
        <w:ind w:right="945"/>
        <w:rPr>
          <w:rFonts w:hint="eastAsia" w:ascii="宋体" w:hAnsi="宋体"/>
          <w:sz w:val="28"/>
        </w:rPr>
      </w:pPr>
    </w:p>
    <w:p>
      <w:pPr>
        <w:spacing w:line="360" w:lineRule="auto"/>
        <w:ind w:right="945"/>
        <w:rPr>
          <w:rFonts w:ascii="宋体" w:hAnsi="宋体"/>
          <w:sz w:val="28"/>
          <w:u w:val="single"/>
        </w:rPr>
      </w:pPr>
      <w:r>
        <w:rPr>
          <w:rFonts w:hint="eastAsia" w:ascii="宋体" w:hAnsi="宋体"/>
          <w:sz w:val="28"/>
        </w:rPr>
        <w:t>致：</w:t>
      </w:r>
      <w:r>
        <w:rPr>
          <w:rFonts w:hint="eastAsia" w:ascii="宋体" w:hAnsi="宋体"/>
          <w:sz w:val="28"/>
          <w:u w:val="single"/>
        </w:rPr>
        <w:t xml:space="preserve"> 方大新材料（江西）有限公司  </w:t>
      </w:r>
    </w:p>
    <w:p>
      <w:pPr>
        <w:spacing w:line="360" w:lineRule="auto"/>
        <w:ind w:right="-57" w:rightChars="-27" w:firstLine="630"/>
        <w:rPr>
          <w:rFonts w:ascii="宋体" w:hAnsi="宋体"/>
          <w:sz w:val="28"/>
        </w:rPr>
      </w:pPr>
      <w:r>
        <w:rPr>
          <w:rFonts w:hint="eastAsia" w:ascii="宋体" w:hAnsi="宋体"/>
          <w:sz w:val="28"/>
        </w:rPr>
        <w:t>本公司就参加</w:t>
      </w:r>
      <w:r>
        <w:rPr>
          <w:rFonts w:hint="eastAsia" w:ascii="宋体" w:hAnsi="宋体"/>
          <w:sz w:val="28"/>
          <w:u w:val="single"/>
        </w:rPr>
        <w:t xml:space="preserve">                         </w:t>
      </w:r>
      <w:r>
        <w:rPr>
          <w:rFonts w:hint="eastAsia" w:ascii="宋体" w:hAnsi="宋体"/>
          <w:sz w:val="28"/>
        </w:rPr>
        <w:t>项目投标工作，郑重作出如下承诺：</w:t>
      </w:r>
    </w:p>
    <w:p>
      <w:pPr>
        <w:spacing w:line="360" w:lineRule="auto"/>
        <w:ind w:right="-57" w:rightChars="-27" w:firstLine="630"/>
        <w:rPr>
          <w:rFonts w:ascii="宋体" w:hAnsi="宋体"/>
          <w:sz w:val="28"/>
        </w:rPr>
      </w:pPr>
      <w:r>
        <w:rPr>
          <w:rFonts w:hint="eastAsia" w:ascii="宋体" w:hAnsi="宋体"/>
          <w:sz w:val="28"/>
        </w:rPr>
        <w:t>我公司已经充分阅读并清楚理解招标要求，我司参加投标所提供的报名材料是真实、合法的。如有机会成为正式投标人，我公司保证不与其他投标单位围标、串标，不出让投标资格，不向招标人、评标小组成员行贿和私下联系，同时不出现其他不廉洁行为。如有违反上述承诺，本公司愿意接受没收投标保证金处罚，并承担相关的法律责任。如果中标，本公司愿意向贵公司出具《诚信廉洁承诺书》。</w:t>
      </w:r>
    </w:p>
    <w:p>
      <w:pPr>
        <w:spacing w:line="360" w:lineRule="auto"/>
        <w:ind w:right="-57" w:rightChars="-27" w:firstLine="630"/>
        <w:rPr>
          <w:rFonts w:ascii="宋体" w:hAnsi="宋体"/>
          <w:sz w:val="28"/>
        </w:rPr>
      </w:pPr>
      <w:r>
        <w:rPr>
          <w:rFonts w:hint="eastAsia" w:ascii="宋体" w:hAnsi="宋体"/>
          <w:sz w:val="28"/>
        </w:rPr>
        <w:t>特此承诺！</w:t>
      </w:r>
    </w:p>
    <w:p>
      <w:pPr>
        <w:spacing w:line="360" w:lineRule="auto"/>
        <w:ind w:right="-57" w:rightChars="-27" w:firstLine="630"/>
        <w:rPr>
          <w:rFonts w:ascii="宋体" w:hAnsi="宋体"/>
          <w:sz w:val="28"/>
        </w:rPr>
      </w:pPr>
    </w:p>
    <w:p>
      <w:pPr>
        <w:spacing w:line="360" w:lineRule="auto"/>
        <w:ind w:right="-57" w:rightChars="-27" w:firstLine="630"/>
        <w:rPr>
          <w:rFonts w:ascii="宋体" w:hAnsi="宋体"/>
          <w:sz w:val="28"/>
        </w:rPr>
      </w:pPr>
      <w:r>
        <w:rPr>
          <w:rFonts w:hint="eastAsia" w:ascii="宋体" w:hAnsi="宋体"/>
          <w:sz w:val="28"/>
        </w:rPr>
        <w:t xml:space="preserve">                              承诺人：（盖章）</w:t>
      </w:r>
    </w:p>
    <w:p>
      <w:pPr>
        <w:spacing w:line="360" w:lineRule="auto"/>
        <w:ind w:right="-57" w:rightChars="-27" w:firstLine="630"/>
        <w:rPr>
          <w:rFonts w:ascii="宋体" w:hAnsi="宋体"/>
          <w:sz w:val="28"/>
        </w:rPr>
      </w:pPr>
      <w:r>
        <w:rPr>
          <w:rFonts w:hint="eastAsia" w:ascii="宋体" w:hAnsi="宋体"/>
          <w:sz w:val="28"/>
        </w:rPr>
        <w:t xml:space="preserve">                              法人签字：  </w:t>
      </w:r>
    </w:p>
    <w:p>
      <w:pPr>
        <w:spacing w:line="360" w:lineRule="auto"/>
        <w:ind w:right="-57" w:rightChars="-27"/>
        <w:rPr>
          <w:rFonts w:ascii="宋体" w:hAnsi="宋体"/>
          <w:sz w:val="28"/>
        </w:rPr>
      </w:pPr>
      <w:r>
        <w:rPr>
          <w:rFonts w:hint="eastAsia" w:ascii="宋体" w:hAnsi="宋体"/>
          <w:sz w:val="28"/>
        </w:rPr>
        <w:t xml:space="preserve">                                  日期：     年    月    日 </w:t>
      </w:r>
    </w:p>
    <w:p>
      <w:pPr>
        <w:spacing w:line="360" w:lineRule="auto"/>
        <w:ind w:right="-57" w:rightChars="-27"/>
        <w:rPr>
          <w:rFonts w:ascii="宋体" w:hAnsi="宋体"/>
          <w:sz w:val="28"/>
        </w:rPr>
      </w:pPr>
    </w:p>
    <w:p>
      <w:pPr>
        <w:spacing w:line="400" w:lineRule="exact"/>
        <w:ind w:right="-57" w:rightChars="-27"/>
        <w:rPr>
          <w:rFonts w:hint="eastAsia" w:ascii="宋体" w:hAnsi="宋体"/>
          <w:sz w:val="24"/>
        </w:rPr>
      </w:pPr>
      <w:r>
        <w:rPr>
          <w:rFonts w:hint="eastAsia" w:ascii="宋体" w:hAnsi="宋体"/>
          <w:sz w:val="28"/>
        </w:rPr>
        <w:t>方大集团举报投诉电话：0755-26788571-5515</w:t>
      </w:r>
    </w:p>
    <w:p>
      <w:pPr>
        <w:spacing w:line="360" w:lineRule="auto"/>
        <w:ind w:right="-57" w:rightChars="-27"/>
        <w:rPr>
          <w:rFonts w:hint="eastAsia" w:ascii="宋体" w:hAnsi="宋体"/>
          <w:sz w:val="24"/>
        </w:rPr>
      </w:pPr>
    </w:p>
    <w:p>
      <w:pPr>
        <w:spacing w:line="360" w:lineRule="auto"/>
        <w:ind w:right="-57" w:rightChars="-27"/>
        <w:rPr>
          <w:rFonts w:hint="eastAsia" w:ascii="宋体" w:hAnsi="宋体"/>
          <w:sz w:val="24"/>
        </w:rPr>
      </w:pPr>
    </w:p>
    <w:p>
      <w:pPr>
        <w:spacing w:line="360" w:lineRule="auto"/>
        <w:ind w:right="-57" w:rightChars="-27"/>
        <w:rPr>
          <w:rFonts w:hint="eastAsia" w:ascii="宋体" w:hAnsi="宋体"/>
          <w:sz w:val="24"/>
        </w:rPr>
      </w:pPr>
    </w:p>
    <w:p>
      <w:pPr>
        <w:spacing w:line="360" w:lineRule="auto"/>
        <w:ind w:right="-57" w:rightChars="-27"/>
        <w:rPr>
          <w:rFonts w:hint="eastAsia" w:ascii="宋体" w:hAnsi="宋体"/>
          <w:sz w:val="24"/>
        </w:rPr>
      </w:pPr>
    </w:p>
    <w:p>
      <w:pPr>
        <w:spacing w:line="360" w:lineRule="auto"/>
        <w:ind w:right="-57" w:rightChars="-27"/>
        <w:rPr>
          <w:rFonts w:hint="eastAsia" w:ascii="宋体" w:hAnsi="宋体"/>
          <w:sz w:val="24"/>
        </w:rPr>
      </w:pPr>
    </w:p>
    <w:p>
      <w:pPr>
        <w:spacing w:line="360" w:lineRule="auto"/>
        <w:ind w:right="-57" w:rightChars="-27"/>
        <w:rPr>
          <w:rFonts w:hint="eastAsia" w:ascii="宋体" w:hAnsi="宋体"/>
          <w:sz w:val="24"/>
        </w:rPr>
      </w:pPr>
    </w:p>
    <w:p>
      <w:pPr>
        <w:spacing w:line="360" w:lineRule="auto"/>
        <w:ind w:right="-57" w:rightChars="-27"/>
        <w:rPr>
          <w:rFonts w:hint="eastAsia" w:ascii="宋体" w:hAnsi="宋体"/>
          <w:sz w:val="24"/>
        </w:rPr>
      </w:pPr>
    </w:p>
    <w:p>
      <w:pPr>
        <w:spacing w:line="360" w:lineRule="auto"/>
        <w:ind w:right="-57" w:rightChars="-27"/>
        <w:rPr>
          <w:rFonts w:hint="eastAsia" w:ascii="宋体" w:hAnsi="宋体"/>
          <w:sz w:val="28"/>
        </w:rPr>
      </w:pPr>
      <w:r>
        <w:rPr>
          <w:rFonts w:hint="eastAsia" w:ascii="宋体" w:hAnsi="宋体"/>
          <w:sz w:val="24"/>
        </w:rPr>
        <w:t>招标</w:t>
      </w:r>
      <w:r>
        <w:rPr>
          <w:rFonts w:hint="eastAsia" w:ascii="宋体" w:hAnsi="宋体"/>
          <w:b/>
          <w:sz w:val="24"/>
        </w:rPr>
        <w:t>附件4</w:t>
      </w:r>
    </w:p>
    <w:p>
      <w:pPr>
        <w:tabs>
          <w:tab w:val="left" w:pos="5780"/>
          <w:tab w:val="left" w:pos="7145"/>
        </w:tabs>
        <w:rPr>
          <w:b/>
          <w:sz w:val="28"/>
        </w:rPr>
      </w:pPr>
      <w:r>
        <w:rPr>
          <w:rFonts w:hint="eastAsia"/>
          <w:b/>
        </w:rPr>
        <w:t xml:space="preserve">                      </w:t>
      </w:r>
      <w:r>
        <w:rPr>
          <w:rFonts w:hint="eastAsia"/>
          <w:b/>
          <w:sz w:val="28"/>
        </w:rPr>
        <w:t>乙方情况调查表</w:t>
      </w:r>
      <w:r>
        <w:rPr>
          <w:b/>
          <w:sz w:val="28"/>
        </w:rPr>
        <w:tab/>
      </w:r>
      <w:r>
        <w:rPr>
          <w:rFonts w:hint="eastAsia"/>
          <w:b/>
          <w:sz w:val="24"/>
        </w:rPr>
        <w:t>版次：B/0</w:t>
      </w:r>
      <w:r>
        <w:rPr>
          <w:b/>
          <w:sz w:val="24"/>
        </w:rPr>
        <w:tab/>
      </w:r>
      <w:r>
        <w:rPr>
          <w:b/>
          <w:sz w:val="24"/>
        </w:rPr>
        <w:t>QR</w:t>
      </w:r>
      <w:r>
        <w:rPr>
          <w:rFonts w:hint="eastAsia"/>
          <w:b/>
          <w:sz w:val="24"/>
        </w:rPr>
        <w:t>7</w:t>
      </w:r>
      <w:r>
        <w:rPr>
          <w:b/>
          <w:sz w:val="24"/>
        </w:rPr>
        <w:t>.</w:t>
      </w:r>
      <w:r>
        <w:rPr>
          <w:rFonts w:hint="eastAsia"/>
          <w:b/>
          <w:sz w:val="24"/>
        </w:rPr>
        <w:t>4</w:t>
      </w:r>
      <w:r>
        <w:rPr>
          <w:b/>
          <w:sz w:val="24"/>
        </w:rPr>
        <w:t>.1-</w:t>
      </w:r>
      <w:r>
        <w:rPr>
          <w:rFonts w:hint="eastAsia"/>
          <w:b/>
          <w:sz w:val="24"/>
        </w:rPr>
        <w:t xml:space="preserve">01 </w:t>
      </w:r>
    </w:p>
    <w:tbl>
      <w:tblPr>
        <w:tblStyle w:val="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600"/>
        <w:gridCol w:w="14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所供物资名称：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b/>
                <w:sz w:val="24"/>
              </w:rPr>
            </w:pPr>
            <w:r>
              <w:rPr>
                <w:rFonts w:hint="eastAsia"/>
                <w:b/>
                <w:sz w:val="24"/>
              </w:rPr>
              <w:t>一、公司概况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乙方名称：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4860" w:type="dxa"/>
            <w:gridSpan w:val="2"/>
            <w:noWrap w:val="0"/>
            <w:vAlign w:val="center"/>
          </w:tcPr>
          <w:p>
            <w:pPr>
              <w:rPr>
                <w:rFonts w:hint="eastAsia"/>
                <w:sz w:val="24"/>
              </w:rPr>
            </w:pPr>
            <w:r>
              <w:rPr>
                <w:rFonts w:hint="eastAsia"/>
                <w:sz w:val="24"/>
              </w:rPr>
              <w:t>公司性质：</w:t>
            </w:r>
          </w:p>
        </w:tc>
        <w:tc>
          <w:tcPr>
            <w:tcW w:w="4140" w:type="dxa"/>
            <w:gridSpan w:val="2"/>
            <w:noWrap w:val="0"/>
            <w:vAlign w:val="center"/>
          </w:tcPr>
          <w:p>
            <w:pPr>
              <w:rPr>
                <w:rFonts w:hint="eastAsia"/>
                <w:sz w:val="24"/>
              </w:rPr>
            </w:pPr>
            <w:r>
              <w:rPr>
                <w:rFonts w:hint="eastAsia"/>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成立时间：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注册资金：                  实收资本额：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员工人数：                  其中技术人员：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乙方联络人：                电话：                    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b/>
                <w:sz w:val="24"/>
              </w:rPr>
            </w:pPr>
            <w:r>
              <w:rPr>
                <w:rFonts w:hint="eastAsia"/>
                <w:b/>
                <w:sz w:val="24"/>
              </w:rPr>
              <w:t>二、业务概况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6320" w:type="dxa"/>
            <w:gridSpan w:val="3"/>
            <w:noWrap w:val="0"/>
            <w:vAlign w:val="center"/>
          </w:tcPr>
          <w:p>
            <w:pPr>
              <w:rPr>
                <w:rFonts w:hint="eastAsia"/>
                <w:sz w:val="24"/>
              </w:rPr>
            </w:pPr>
            <w:r>
              <w:rPr>
                <w:rFonts w:hint="eastAsia"/>
                <w:sz w:val="24"/>
              </w:rPr>
              <w:t>生产方式     计划生产□     定单生产□     混合□</w:t>
            </w:r>
          </w:p>
        </w:tc>
        <w:tc>
          <w:tcPr>
            <w:tcW w:w="2680" w:type="dxa"/>
            <w:noWrap w:val="0"/>
            <w:vAlign w:val="center"/>
          </w:tcPr>
          <w:p>
            <w:pPr>
              <w:rPr>
                <w:rFonts w:hint="eastAsia"/>
                <w:sz w:val="24"/>
              </w:rPr>
            </w:pPr>
            <w:r>
              <w:rPr>
                <w:rFonts w:hint="eastAsia"/>
                <w:sz w:val="24"/>
              </w:rPr>
              <w:t>自制率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4860" w:type="dxa"/>
            <w:gridSpan w:val="2"/>
            <w:noWrap w:val="0"/>
            <w:vAlign w:val="center"/>
          </w:tcPr>
          <w:p>
            <w:pPr>
              <w:rPr>
                <w:sz w:val="24"/>
              </w:rPr>
            </w:pPr>
            <w:r>
              <w:rPr>
                <w:rFonts w:hint="eastAsia"/>
                <w:sz w:val="24"/>
              </w:rPr>
              <w:t xml:space="preserve">年度平均月产量：             /月    </w:t>
            </w:r>
          </w:p>
        </w:tc>
        <w:tc>
          <w:tcPr>
            <w:tcW w:w="4140" w:type="dxa"/>
            <w:gridSpan w:val="2"/>
            <w:noWrap w:val="0"/>
            <w:vAlign w:val="center"/>
          </w:tcPr>
          <w:p>
            <w:pPr>
              <w:rPr>
                <w:sz w:val="24"/>
              </w:rPr>
            </w:pPr>
            <w:r>
              <w:rPr>
                <w:rFonts w:hint="eastAsia"/>
                <w:sz w:val="24"/>
              </w:rPr>
              <w:t xml:space="preserve">营业额：         万元/月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主要产品：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1260" w:type="dxa"/>
            <w:vMerge w:val="restart"/>
            <w:noWrap w:val="0"/>
            <w:vAlign w:val="center"/>
          </w:tcPr>
          <w:p>
            <w:pPr>
              <w:rPr>
                <w:rFonts w:hint="eastAsia"/>
                <w:sz w:val="24"/>
              </w:rPr>
            </w:pPr>
            <w:r>
              <w:rPr>
                <w:rFonts w:hint="eastAsia"/>
                <w:sz w:val="24"/>
              </w:rPr>
              <w:t>主要原材料来源</w:t>
            </w:r>
          </w:p>
        </w:tc>
        <w:tc>
          <w:tcPr>
            <w:tcW w:w="7740" w:type="dxa"/>
            <w:gridSpan w:val="3"/>
            <w:noWrap w:val="0"/>
            <w:vAlign w:val="center"/>
          </w:tcPr>
          <w:p>
            <w:pPr>
              <w:rPr>
                <w:rFonts w:hint="eastAsia"/>
                <w:sz w:val="24"/>
              </w:rPr>
            </w:pPr>
            <w:r>
              <w:rPr>
                <w:rFonts w:hint="eastAsia"/>
                <w:sz w:val="24"/>
              </w:rPr>
              <w:t>品名：             产地：         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1260" w:type="dxa"/>
            <w:vMerge w:val="continue"/>
            <w:noWrap w:val="0"/>
            <w:vAlign w:val="center"/>
          </w:tcPr>
          <w:p>
            <w:pPr>
              <w:rPr>
                <w:rFonts w:hint="eastAsia"/>
                <w:sz w:val="24"/>
              </w:rPr>
            </w:pPr>
          </w:p>
        </w:tc>
        <w:tc>
          <w:tcPr>
            <w:tcW w:w="7740" w:type="dxa"/>
            <w:gridSpan w:val="3"/>
            <w:noWrap w:val="0"/>
            <w:vAlign w:val="center"/>
          </w:tcPr>
          <w:p>
            <w:pPr>
              <w:rPr>
                <w:rFonts w:hint="eastAsia"/>
                <w:sz w:val="24"/>
              </w:rPr>
            </w:pPr>
            <w:r>
              <w:rPr>
                <w:rFonts w:hint="eastAsia"/>
                <w:sz w:val="24"/>
              </w:rPr>
              <w:t>品名：             产地：         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 xml:space="preserve">主要客户：1.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ind w:firstLine="1200"/>
              <w:rPr>
                <w:rFonts w:hint="eastAsia"/>
                <w:sz w:val="24"/>
              </w:rPr>
            </w:pPr>
            <w:r>
              <w:rPr>
                <w:rFonts w:hint="eastAsia"/>
                <w:sz w:val="24"/>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b/>
                <w:sz w:val="24"/>
              </w:rPr>
              <w:t>三、品质状态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质量体系认证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产品合格率：      %                 产品成品率：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产品品质管制流程：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主要检测工具：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产品检验标准：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品管人员文化程度：     本科□      大专□     中专或高中□     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b/>
                <w:sz w:val="24"/>
              </w:rPr>
            </w:pPr>
            <w:r>
              <w:rPr>
                <w:rFonts w:hint="eastAsia"/>
                <w:b/>
                <w:sz w:val="24"/>
              </w:rPr>
              <w:t>四、生产设备状态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sz w:val="24"/>
              </w:rPr>
            </w:pPr>
            <w:r>
              <w:rPr>
                <w:rFonts w:hint="eastAsia"/>
                <w:sz w:val="24"/>
              </w:rPr>
              <w:t>主要生产设备：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sz w:val="24"/>
              </w:rPr>
            </w:pPr>
            <w:r>
              <w:rPr>
                <w:rFonts w:hint="eastAsia"/>
                <w:sz w:val="24"/>
              </w:rPr>
              <w:t>1. 名称：                  产地：                    购置日期：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2. 名称：                  产地：                    购置日期：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9000" w:type="dxa"/>
            <w:gridSpan w:val="4"/>
            <w:noWrap w:val="0"/>
            <w:vAlign w:val="center"/>
          </w:tcPr>
          <w:p>
            <w:pPr>
              <w:rPr>
                <w:rFonts w:hint="eastAsia"/>
                <w:sz w:val="24"/>
              </w:rPr>
            </w:pPr>
            <w:r>
              <w:rPr>
                <w:rFonts w:hint="eastAsia"/>
                <w:sz w:val="24"/>
              </w:rPr>
              <w:t>3. 名称：                  产地：                    购置日期：</w:t>
            </w:r>
          </w:p>
        </w:tc>
      </w:tr>
    </w:tbl>
    <w:p>
      <w:pPr>
        <w:rPr>
          <w:rFonts w:hint="eastAsia"/>
          <w:sz w:val="24"/>
        </w:rPr>
      </w:pPr>
      <w:r>
        <w:rPr>
          <w:rFonts w:hint="eastAsia"/>
          <w:sz w:val="24"/>
        </w:rPr>
        <w:t>填表人：                                                 日期：</w:t>
      </w:r>
    </w:p>
    <w:p>
      <w:pPr>
        <w:rPr>
          <w:rFonts w:hint="eastAsia"/>
          <w:sz w:val="24"/>
        </w:rPr>
      </w:pPr>
    </w:p>
    <w:p>
      <w:pPr>
        <w:spacing w:line="360" w:lineRule="auto"/>
        <w:ind w:right="-57" w:rightChars="-27"/>
        <w:rPr>
          <w:rFonts w:hint="eastAsia" w:ascii="宋体" w:hAnsi="宋体" w:eastAsia="宋体"/>
          <w:sz w:val="28"/>
          <w:lang w:val="en-US" w:eastAsia="zh-CN"/>
        </w:rPr>
      </w:pPr>
      <w:r>
        <w:rPr>
          <w:rFonts w:hint="eastAsia" w:ascii="宋体" w:hAnsi="宋体"/>
          <w:sz w:val="24"/>
        </w:rPr>
        <w:t>招标</w:t>
      </w:r>
      <w:r>
        <w:rPr>
          <w:rFonts w:hint="eastAsia" w:ascii="宋体" w:hAnsi="宋体"/>
          <w:b/>
          <w:sz w:val="24"/>
        </w:rPr>
        <w:t>附件</w:t>
      </w:r>
      <w:r>
        <w:rPr>
          <w:rFonts w:hint="eastAsia" w:ascii="宋体" w:hAnsi="宋体"/>
          <w:b/>
          <w:sz w:val="24"/>
          <w:lang w:val="en-US" w:eastAsia="zh-CN"/>
        </w:rPr>
        <w:t>5</w:t>
      </w:r>
    </w:p>
    <w:p>
      <w:pPr>
        <w:rPr>
          <w:rFonts w:hint="eastAsia"/>
          <w:sz w:val="24"/>
          <w:lang w:eastAsia="zh-CN"/>
        </w:rPr>
      </w:pPr>
    </w:p>
    <w:p>
      <w:pPr>
        <w:adjustRightInd w:val="0"/>
        <w:snapToGrid w:val="0"/>
        <w:spacing w:after="156" w:afterLines="50" w:line="300" w:lineRule="auto"/>
        <w:jc w:val="center"/>
        <w:rPr>
          <w:rFonts w:ascii="宋体" w:hAnsi="宋体"/>
          <w:b/>
          <w:sz w:val="36"/>
        </w:rPr>
      </w:pPr>
      <w:r>
        <w:rPr>
          <w:rFonts w:hint="eastAsia" w:ascii="宋体" w:hAnsi="宋体"/>
          <w:b/>
          <w:sz w:val="36"/>
          <w:lang w:eastAsia="zh-CN"/>
        </w:rPr>
        <w:t>铝单</w:t>
      </w:r>
      <w:r>
        <w:rPr>
          <w:rFonts w:hint="eastAsia" w:ascii="宋体" w:hAnsi="宋体"/>
          <w:b/>
          <w:sz w:val="36"/>
        </w:rPr>
        <w:t>板购销合同</w:t>
      </w:r>
    </w:p>
    <w:p>
      <w:pPr>
        <w:adjustRightInd w:val="0"/>
        <w:snapToGrid w:val="0"/>
        <w:spacing w:after="50" w:line="300" w:lineRule="auto"/>
        <w:ind w:firstLine="241" w:firstLineChars="100"/>
        <w:rPr>
          <w:rFonts w:hint="default" w:ascii="宋体" w:hAnsi="宋体"/>
          <w:b/>
          <w:sz w:val="24"/>
          <w:lang w:val="en-US" w:eastAsia="zh-CN"/>
        </w:rPr>
      </w:pPr>
      <w:r>
        <w:rPr>
          <w:rFonts w:hint="eastAsia" w:ascii="宋体" w:hAnsi="宋体"/>
          <w:b/>
          <w:sz w:val="24"/>
        </w:rPr>
        <w:t>甲方：方大新材料（江西）有限公司          合同编号：FDXCL-ZTWX-</w:t>
      </w:r>
      <w:r>
        <w:rPr>
          <w:rFonts w:hint="eastAsia" w:ascii="宋体" w:hAnsi="宋体"/>
          <w:b/>
          <w:sz w:val="24"/>
          <w:lang w:val="en-US" w:eastAsia="zh-CN"/>
        </w:rPr>
        <w:t>***</w:t>
      </w:r>
    </w:p>
    <w:p>
      <w:pPr>
        <w:adjustRightInd w:val="0"/>
        <w:snapToGrid w:val="0"/>
        <w:spacing w:after="50" w:line="300" w:lineRule="auto"/>
        <w:ind w:firstLine="241" w:firstLineChars="100"/>
        <w:rPr>
          <w:rFonts w:ascii="宋体" w:hAnsi="宋体"/>
          <w:b/>
          <w:sz w:val="24"/>
        </w:rPr>
      </w:pPr>
      <w:r>
        <w:rPr>
          <w:rFonts w:hint="eastAsia" w:ascii="宋体" w:hAnsi="宋体"/>
          <w:b/>
          <w:sz w:val="24"/>
        </w:rPr>
        <w:t>乙方</w:t>
      </w:r>
      <w:r>
        <w:rPr>
          <w:rFonts w:hint="eastAsia" w:ascii="宋体" w:hAnsi="宋体"/>
          <w:b/>
          <w:sz w:val="24"/>
          <w:lang w:val="en-US" w:eastAsia="zh-CN"/>
        </w:rPr>
        <w:t>:</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签订地点：</w:t>
      </w:r>
      <w:r>
        <w:rPr>
          <w:rFonts w:hint="eastAsia"/>
          <w:b/>
          <w:sz w:val="24"/>
        </w:rPr>
        <w:t>南昌市高新区</w:t>
      </w:r>
    </w:p>
    <w:p>
      <w:pPr>
        <w:adjustRightInd w:val="0"/>
        <w:snapToGrid w:val="0"/>
        <w:spacing w:after="50" w:line="300" w:lineRule="auto"/>
        <w:ind w:firstLine="240" w:firstLineChars="100"/>
        <w:rPr>
          <w:rFonts w:ascii="宋体" w:hAnsi="宋体"/>
          <w:sz w:val="24"/>
        </w:rPr>
      </w:pPr>
      <w:r>
        <w:rPr>
          <w:rFonts w:hint="eastAsia" w:ascii="宋体" w:hAnsi="宋体"/>
          <w:sz w:val="24"/>
        </w:rPr>
        <w:t xml:space="preserve">  甲乙双方依照《中华人民共和国</w:t>
      </w:r>
      <w:r>
        <w:rPr>
          <w:rFonts w:hint="eastAsia" w:ascii="宋体" w:hAnsi="宋体"/>
          <w:sz w:val="24"/>
          <w:lang w:eastAsia="zh-CN"/>
        </w:rPr>
        <w:t>民法典</w:t>
      </w:r>
      <w:r>
        <w:rPr>
          <w:rFonts w:hint="eastAsia" w:ascii="宋体" w:hAnsi="宋体"/>
          <w:sz w:val="24"/>
        </w:rPr>
        <w:t>》及相关法律法规的规定，经充分友好协商，就甲方向乙方采购</w:t>
      </w:r>
      <w:r>
        <w:rPr>
          <w:rFonts w:hint="eastAsia" w:ascii="宋体" w:hAnsi="宋体"/>
          <w:sz w:val="24"/>
          <w:u w:val="none"/>
        </w:rPr>
        <w:t xml:space="preserve"> </w:t>
      </w:r>
      <w:r>
        <w:rPr>
          <w:rFonts w:hint="eastAsia" w:ascii="宋体" w:hAnsi="宋体"/>
          <w:b/>
          <w:bCs/>
          <w:sz w:val="24"/>
          <w:u w:val="single"/>
          <w:lang w:eastAsia="zh-CN"/>
        </w:rPr>
        <w:t>方大</w:t>
      </w:r>
      <w:r>
        <w:rPr>
          <w:rFonts w:hint="eastAsia" w:ascii="宋体" w:hAnsi="宋体"/>
          <w:b/>
          <w:bCs/>
          <w:sz w:val="24"/>
          <w:u w:val="single"/>
          <w:lang w:val="en-US" w:eastAsia="zh-CN"/>
        </w:rPr>
        <w:t xml:space="preserve">    </w:t>
      </w:r>
      <w:r>
        <w:rPr>
          <w:rFonts w:hint="eastAsia" w:ascii="宋体" w:hAnsi="宋体"/>
          <w:sz w:val="24"/>
        </w:rPr>
        <w:t>工程所用</w:t>
      </w:r>
      <w:r>
        <w:rPr>
          <w:rFonts w:hint="eastAsia" w:ascii="宋体" w:hAnsi="宋体"/>
          <w:sz w:val="24"/>
          <w:lang w:eastAsia="zh-CN"/>
        </w:rPr>
        <w:t>铝单</w:t>
      </w:r>
      <w:r>
        <w:rPr>
          <w:rFonts w:hint="eastAsia" w:ascii="宋体" w:hAnsi="宋体"/>
          <w:sz w:val="24"/>
        </w:rPr>
        <w:t>板事宜一致达成合同条款如下：</w:t>
      </w:r>
    </w:p>
    <w:p>
      <w:pPr>
        <w:autoSpaceDE w:val="0"/>
        <w:autoSpaceDN w:val="0"/>
        <w:adjustRightInd w:val="0"/>
        <w:spacing w:after="50"/>
        <w:rPr>
          <w:rFonts w:ascii="宋体" w:hAnsi="宋体" w:cs="华文楷体"/>
          <w:b/>
          <w:bCs/>
          <w:lang w:val="zh-CN"/>
        </w:rPr>
      </w:pPr>
      <w:r>
        <w:rPr>
          <w:rFonts w:hint="eastAsia" w:ascii="宋体" w:hAnsi="宋体" w:cs="华文楷体"/>
          <w:b/>
          <w:bCs/>
          <w:lang w:val="zh-CN"/>
        </w:rPr>
        <w:t xml:space="preserve">第一条   </w:t>
      </w:r>
      <w:r>
        <w:rPr>
          <w:rFonts w:hint="eastAsia" w:ascii="宋体" w:hAnsi="宋体"/>
          <w:b/>
          <w:sz w:val="24"/>
        </w:rPr>
        <w:t>产品名称、规格、单价、数量、基材材质、金额</w:t>
      </w:r>
    </w:p>
    <w:p>
      <w:pPr>
        <w:autoSpaceDE w:val="0"/>
        <w:autoSpaceDN w:val="0"/>
        <w:adjustRightInd w:val="0"/>
        <w:spacing w:after="50"/>
        <w:rPr>
          <w:rFonts w:hint="eastAsia" w:ascii="宋体" w:hAnsi="宋体" w:cs="华文楷体"/>
          <w:bCs/>
          <w:lang w:val="zh-CN"/>
        </w:rPr>
      </w:pPr>
      <w:r>
        <w:rPr>
          <w:rFonts w:hint="eastAsia" w:ascii="宋体" w:hAnsi="宋体" w:cs="华文楷体"/>
          <w:bCs/>
          <w:lang w:val="zh-CN"/>
        </w:rPr>
        <w:t>1．标的物</w:t>
      </w:r>
    </w:p>
    <w:tbl>
      <w:tblPr>
        <w:tblStyle w:val="8"/>
        <w:tblW w:w="9494" w:type="dxa"/>
        <w:tblInd w:w="0" w:type="dxa"/>
        <w:shd w:val="clear" w:color="auto" w:fill="auto"/>
        <w:tblLayout w:type="fixed"/>
        <w:tblCellMar>
          <w:top w:w="0" w:type="dxa"/>
          <w:left w:w="0" w:type="dxa"/>
          <w:bottom w:w="0" w:type="dxa"/>
          <w:right w:w="0" w:type="dxa"/>
        </w:tblCellMar>
      </w:tblPr>
      <w:tblGrid>
        <w:gridCol w:w="1303"/>
        <w:gridCol w:w="1090"/>
        <w:gridCol w:w="1188"/>
        <w:gridCol w:w="1405"/>
        <w:gridCol w:w="1500"/>
        <w:gridCol w:w="1504"/>
        <w:gridCol w:w="1504"/>
      </w:tblGrid>
      <w:tr>
        <w:tblPrEx>
          <w:shd w:val="clear" w:color="auto" w:fill="auto"/>
          <w:tblCellMar>
            <w:top w:w="0" w:type="dxa"/>
            <w:left w:w="0" w:type="dxa"/>
            <w:bottom w:w="0" w:type="dxa"/>
            <w:right w:w="0" w:type="dxa"/>
          </w:tblCellMar>
        </w:tblPrEx>
        <w:trPr>
          <w:trHeight w:val="966"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产品名称</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数量（平米）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材质</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不含税单价</w:t>
            </w:r>
            <w:r>
              <w:rPr>
                <w:rFonts w:hint="eastAsia" w:ascii="宋体" w:hAnsi="宋体" w:eastAsia="宋体" w:cs="宋体"/>
                <w:b/>
                <w:i w:val="0"/>
                <w:color w:val="000000"/>
                <w:kern w:val="0"/>
                <w:sz w:val="22"/>
                <w:szCs w:val="22"/>
                <w:u w:val="none"/>
                <w:lang w:val="en-US" w:eastAsia="zh-CN" w:bidi="ar"/>
              </w:rPr>
              <w:t>（元/平米）</w:t>
            </w:r>
          </w:p>
        </w:tc>
        <w:tc>
          <w:tcPr>
            <w:tcW w:w="1500"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税金</w:t>
            </w:r>
            <w:r>
              <w:rPr>
                <w:rFonts w:hint="eastAsia" w:ascii="宋体" w:hAnsi="宋体" w:eastAsia="宋体" w:cs="宋体"/>
                <w:b/>
                <w:i w:val="0"/>
                <w:color w:val="000000"/>
                <w:kern w:val="0"/>
                <w:sz w:val="22"/>
                <w:szCs w:val="22"/>
                <w:u w:val="none"/>
                <w:lang w:val="en-US" w:eastAsia="zh-CN" w:bidi="ar"/>
              </w:rPr>
              <w:t>（元/平米）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含税13%价格（元/平米）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备注（品牌）</w:t>
            </w:r>
          </w:p>
        </w:tc>
      </w:tr>
      <w:tr>
        <w:tblPrEx>
          <w:tblCellMar>
            <w:top w:w="0" w:type="dxa"/>
            <w:left w:w="0" w:type="dxa"/>
            <w:bottom w:w="0" w:type="dxa"/>
            <w:right w:w="0" w:type="dxa"/>
          </w:tblCellMar>
        </w:tblPrEx>
        <w:trPr>
          <w:trHeight w:val="72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3mm，类似JG-YB-LB-001</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3003-H14/24</w:t>
            </w: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15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氟碳油漆，3涂，国产要求Kynar@500氟碳树脂含量不低于70%，AAMA2605  常规膜厚</w:t>
            </w:r>
          </w:p>
        </w:tc>
      </w:tr>
      <w:tr>
        <w:tblPrEx>
          <w:shd w:val="clear" w:color="auto" w:fill="auto"/>
          <w:tblCellMar>
            <w:top w:w="0" w:type="dxa"/>
            <w:left w:w="0" w:type="dxa"/>
            <w:bottom w:w="0" w:type="dxa"/>
            <w:right w:w="0" w:type="dxa"/>
          </w:tblCellMar>
        </w:tblPrEx>
        <w:trPr>
          <w:trHeight w:val="720"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3mm</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615"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2mm</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粉末，国标</w:t>
            </w:r>
          </w:p>
        </w:tc>
      </w:tr>
      <w:tr>
        <w:tblPrEx>
          <w:shd w:val="clear" w:color="auto" w:fill="auto"/>
          <w:tblCellMar>
            <w:top w:w="0" w:type="dxa"/>
            <w:left w:w="0" w:type="dxa"/>
            <w:bottom w:w="0" w:type="dxa"/>
            <w:right w:w="0" w:type="dxa"/>
          </w:tblCellMar>
        </w:tblPrEx>
        <w:trPr>
          <w:trHeight w:val="615"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开槽</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15"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通长焊</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bl>
    <w:p>
      <w:pPr>
        <w:spacing w:line="360" w:lineRule="auto"/>
        <w:ind w:firstLine="480" w:firstLineChars="200"/>
        <w:jc w:val="both"/>
        <w:rPr>
          <w:rFonts w:ascii="宋体" w:hAnsi="宋体"/>
          <w:color w:val="000000"/>
          <w:kern w:val="2"/>
          <w:sz w:val="24"/>
          <w:szCs w:val="24"/>
        </w:rPr>
      </w:pPr>
      <w:r>
        <w:rPr>
          <w:rFonts w:hint="eastAsia" w:ascii="宋体" w:hAnsi="宋体"/>
          <w:color w:val="000000"/>
          <w:kern w:val="2"/>
          <w:sz w:val="24"/>
          <w:szCs w:val="24"/>
        </w:rPr>
        <w:t>备注：</w:t>
      </w:r>
    </w:p>
    <w:p>
      <w:pPr>
        <w:spacing w:line="360" w:lineRule="auto"/>
        <w:ind w:firstLine="480" w:firstLineChars="200"/>
        <w:rPr>
          <w:rFonts w:ascii="新宋体" w:hAnsi="新宋体" w:eastAsia="新宋体"/>
          <w:color w:val="000000"/>
          <w:sz w:val="24"/>
          <w:szCs w:val="24"/>
        </w:rPr>
      </w:pPr>
      <w:r>
        <w:rPr>
          <w:rFonts w:hint="eastAsia" w:ascii="新宋体" w:hAnsi="新宋体" w:eastAsia="新宋体"/>
          <w:color w:val="000000"/>
          <w:sz w:val="24"/>
          <w:szCs w:val="24"/>
        </w:rPr>
        <w:t>1、</w:t>
      </w:r>
      <w:r>
        <w:rPr>
          <w:rFonts w:hint="eastAsia" w:ascii="宋体" w:hAnsi="宋体"/>
          <w:sz w:val="24"/>
          <w:lang w:val="en-US" w:eastAsia="zh-CN"/>
        </w:rPr>
        <w:t>以上单价为</w:t>
      </w:r>
      <w:r>
        <w:rPr>
          <w:rFonts w:hint="eastAsia" w:ascii="宋体" w:hAnsi="宋体" w:cs="宋体"/>
          <w:sz w:val="24"/>
          <w:szCs w:val="24"/>
        </w:rPr>
        <w:t>平板</w:t>
      </w:r>
      <w:r>
        <w:rPr>
          <w:rFonts w:hint="eastAsia" w:ascii="宋体" w:hAnsi="宋体" w:cs="宋体"/>
          <w:sz w:val="24"/>
          <w:szCs w:val="24"/>
          <w:lang w:eastAsia="zh-CN"/>
        </w:rPr>
        <w:t>单</w:t>
      </w:r>
      <w:r>
        <w:rPr>
          <w:rFonts w:hint="eastAsia" w:ascii="宋体" w:hAnsi="宋体"/>
          <w:sz w:val="24"/>
          <w:lang w:val="en-US" w:eastAsia="zh-CN"/>
        </w:rPr>
        <w:t>价，折弯刀数≥6刀或展开非矩形板为普通异形板，普通异形板、弧形板在平板单价基础上增加</w:t>
      </w:r>
      <w:r>
        <w:rPr>
          <w:rFonts w:hint="eastAsia" w:ascii="宋体" w:hAnsi="宋体"/>
          <w:sz w:val="24"/>
          <w:highlight w:val="yellow"/>
          <w:lang w:val="en-US" w:eastAsia="zh-CN"/>
        </w:rPr>
        <w:t xml:space="preserve">   </w:t>
      </w:r>
      <w:r>
        <w:rPr>
          <w:rFonts w:hint="eastAsia" w:ascii="宋体" w:hAnsi="宋体"/>
          <w:sz w:val="24"/>
          <w:lang w:val="en-US" w:eastAsia="zh-CN"/>
        </w:rPr>
        <w:t>元</w:t>
      </w:r>
      <w:r>
        <w:rPr>
          <w:rFonts w:hint="eastAsia" w:ascii="宋体" w:hAnsi="宋体" w:cs="宋体"/>
          <w:szCs w:val="21"/>
          <w:lang w:val="en-US" w:eastAsia="zh-CN"/>
        </w:rPr>
        <w:t>。</w:t>
      </w:r>
      <w:r>
        <w:rPr>
          <w:rFonts w:hint="eastAsia" w:ascii="宋体" w:hAnsi="宋体"/>
          <w:sz w:val="24"/>
          <w:lang w:val="en-US" w:eastAsia="zh-CN"/>
        </w:rPr>
        <w:t>铝板宽度</w:t>
      </w:r>
      <w:r>
        <w:rPr>
          <w:rFonts w:hint="eastAsia" w:ascii="宋体" w:hAnsi="宋体" w:eastAsia="宋体" w:cs="宋体"/>
          <w:sz w:val="24"/>
          <w:lang w:val="en-US" w:eastAsia="zh-CN"/>
        </w:rPr>
        <w:t>&gt;</w:t>
      </w:r>
      <w:r>
        <w:rPr>
          <w:rFonts w:hint="eastAsia" w:ascii="宋体" w:hAnsi="宋体"/>
          <w:sz w:val="24"/>
          <w:lang w:val="en-US" w:eastAsia="zh-CN"/>
        </w:rPr>
        <w:t>1600mm为超宽板，宽度每增加100mm，单价增加</w:t>
      </w:r>
      <w:r>
        <w:rPr>
          <w:rFonts w:hint="eastAsia" w:ascii="宋体" w:hAnsi="宋体"/>
          <w:sz w:val="24"/>
          <w:highlight w:val="yellow"/>
          <w:lang w:val="en-US" w:eastAsia="zh-CN"/>
        </w:rPr>
        <w:t xml:space="preserve">   </w:t>
      </w:r>
      <w:r>
        <w:rPr>
          <w:rFonts w:hint="eastAsia" w:ascii="宋体" w:hAnsi="宋体"/>
          <w:sz w:val="24"/>
          <w:lang w:val="en-US" w:eastAsia="zh-CN"/>
        </w:rPr>
        <w:t>元。</w:t>
      </w:r>
      <w:r>
        <w:rPr>
          <w:rFonts w:hint="eastAsia" w:ascii="新宋体" w:hAnsi="新宋体" w:eastAsia="新宋体"/>
          <w:color w:val="000000"/>
          <w:sz w:val="24"/>
          <w:szCs w:val="24"/>
        </w:rPr>
        <w:t>该单价包括按照甲方订单（含下料单/工艺图）所要求的</w:t>
      </w:r>
      <w:r>
        <w:rPr>
          <w:rFonts w:hint="eastAsia" w:ascii="新宋体" w:hAnsi="新宋体" w:eastAsia="新宋体"/>
          <w:color w:val="000000"/>
          <w:sz w:val="24"/>
          <w:szCs w:val="24"/>
          <w:highlight w:val="none"/>
        </w:rPr>
        <w:t>材料费、加工费、油漆费、损耗费、至</w:t>
      </w:r>
      <w:r>
        <w:rPr>
          <w:rFonts w:hint="eastAsia" w:ascii="新宋体" w:hAnsi="新宋体" w:eastAsia="新宋体"/>
          <w:color w:val="000000"/>
          <w:sz w:val="24"/>
          <w:szCs w:val="24"/>
          <w:highlight w:val="none"/>
          <w:lang w:eastAsia="zh-CN"/>
        </w:rPr>
        <w:t>甲方指定</w:t>
      </w:r>
      <w:r>
        <w:rPr>
          <w:rFonts w:hint="eastAsia" w:ascii="新宋体" w:hAnsi="新宋体" w:eastAsia="新宋体"/>
          <w:color w:val="000000"/>
          <w:sz w:val="24"/>
          <w:szCs w:val="24"/>
          <w:highlight w:val="none"/>
        </w:rPr>
        <w:t>工地运费、包装费、装车费、13%增值税专用发票税金等相关费用</w:t>
      </w:r>
      <w:r>
        <w:rPr>
          <w:rFonts w:hint="eastAsia" w:ascii="宋体" w:hAnsi="宋体" w:cs="宋体"/>
          <w:sz w:val="24"/>
          <w:szCs w:val="24"/>
          <w:highlight w:val="none"/>
        </w:rPr>
        <w:t>（</w:t>
      </w:r>
      <w:r>
        <w:rPr>
          <w:rFonts w:hint="eastAsia" w:ascii="宋体" w:cs="宋体"/>
          <w:color w:val="000000"/>
          <w:sz w:val="24"/>
          <w:szCs w:val="24"/>
          <w:highlight w:val="none"/>
          <w:lang w:val="zh-CN"/>
        </w:rPr>
        <w:t>合同履行过程中，遇国家税率发生变化，则合同约定的不含税单价不变，税金、含税单价和合同金额应按调整后税率进行变更</w:t>
      </w:r>
      <w:r>
        <w:rPr>
          <w:rFonts w:hint="eastAsia" w:ascii="宋体" w:hAnsi="宋体" w:cs="宋体"/>
          <w:sz w:val="24"/>
          <w:szCs w:val="24"/>
          <w:highlight w:val="none"/>
        </w:rPr>
        <w:t>）</w:t>
      </w:r>
      <w:r>
        <w:rPr>
          <w:rFonts w:hint="eastAsia" w:ascii="新宋体" w:hAnsi="新宋体" w:eastAsia="新宋体"/>
          <w:color w:val="000000"/>
          <w:sz w:val="24"/>
          <w:szCs w:val="24"/>
        </w:rPr>
        <w:t>。</w:t>
      </w:r>
    </w:p>
    <w:p>
      <w:pPr>
        <w:spacing w:line="360" w:lineRule="auto"/>
        <w:ind w:firstLine="480" w:firstLineChars="200"/>
        <w:rPr>
          <w:rFonts w:hint="eastAsia" w:ascii="新宋体" w:hAnsi="新宋体" w:eastAsia="新宋体"/>
          <w:color w:val="000000"/>
          <w:sz w:val="24"/>
          <w:szCs w:val="24"/>
          <w:lang w:eastAsia="zh-CN"/>
        </w:rPr>
      </w:pPr>
      <w:r>
        <w:rPr>
          <w:rFonts w:hint="eastAsia" w:ascii="新宋体" w:hAnsi="新宋体" w:eastAsia="新宋体"/>
          <w:color w:val="000000"/>
          <w:sz w:val="24"/>
          <w:szCs w:val="24"/>
        </w:rPr>
        <w:t>2</w:t>
      </w:r>
      <w:r>
        <w:rPr>
          <w:rFonts w:hint="eastAsia" w:ascii="新宋体" w:hAnsi="新宋体" w:eastAsia="新宋体"/>
          <w:color w:val="000000"/>
          <w:sz w:val="24"/>
          <w:szCs w:val="24"/>
          <w:lang w:eastAsia="zh-CN"/>
        </w:rPr>
        <w:t>、</w:t>
      </w:r>
      <w:r>
        <w:rPr>
          <w:rFonts w:hint="eastAsia" w:ascii="宋体" w:hAnsi="宋体"/>
          <w:sz w:val="24"/>
          <w:lang w:val="en-US" w:eastAsia="zh-CN"/>
        </w:rPr>
        <w:t>铝板按见光面积计算，折边不超过25mm不计算面积，折边大于25mm则计算超出25mm以外面积,折边40mm以上的不扣除，全部计算面积。槽形加强筋尺寸38*20*2.5mm，间距为 600 mm（如改用常规筋，单价上/下浮动</w:t>
      </w:r>
      <w:r>
        <w:rPr>
          <w:rFonts w:hint="eastAsia" w:ascii="宋体" w:hAnsi="宋体"/>
          <w:sz w:val="24"/>
          <w:highlight w:val="yellow"/>
          <w:lang w:val="en-US" w:eastAsia="zh-CN"/>
        </w:rPr>
        <w:t xml:space="preserve">   </w:t>
      </w:r>
      <w:r>
        <w:rPr>
          <w:rFonts w:hint="eastAsia" w:ascii="宋体" w:hAnsi="宋体"/>
          <w:sz w:val="24"/>
          <w:lang w:val="en-US" w:eastAsia="zh-CN"/>
        </w:rPr>
        <w:t>元/平方米），常规角码，规格宽40mm，挂面20或25mm。</w:t>
      </w:r>
      <w:r>
        <w:rPr>
          <w:rFonts w:hint="eastAsia" w:ascii="新宋体" w:hAnsi="新宋体" w:eastAsia="新宋体"/>
          <w:color w:val="000000"/>
          <w:sz w:val="24"/>
          <w:szCs w:val="24"/>
          <w:lang w:eastAsia="zh-CN"/>
        </w:rPr>
        <w:t xml:space="preserve">                         </w:t>
      </w:r>
    </w:p>
    <w:p>
      <w:pPr>
        <w:widowControl/>
        <w:spacing w:line="500" w:lineRule="atLeast"/>
        <w:ind w:left="0" w:leftChars="0" w:firstLine="480" w:firstLineChars="200"/>
        <w:rPr>
          <w:rFonts w:hint="eastAsia" w:ascii="宋体" w:hAnsi="宋体"/>
          <w:color w:val="000000"/>
          <w:sz w:val="24"/>
          <w:szCs w:val="24"/>
        </w:rPr>
      </w:pPr>
      <w:r>
        <w:rPr>
          <w:rFonts w:hint="eastAsia" w:ascii="新宋体" w:hAnsi="新宋体" w:eastAsia="新宋体"/>
          <w:color w:val="000000"/>
          <w:sz w:val="24"/>
          <w:szCs w:val="24"/>
          <w:lang w:val="en-US" w:eastAsia="zh-CN"/>
        </w:rPr>
        <w:t>3</w:t>
      </w:r>
      <w:r>
        <w:rPr>
          <w:rFonts w:hint="eastAsia" w:ascii="新宋体" w:hAnsi="新宋体" w:eastAsia="新宋体"/>
          <w:color w:val="000000"/>
          <w:sz w:val="24"/>
          <w:szCs w:val="24"/>
        </w:rPr>
        <w:t>、</w:t>
      </w:r>
      <w:r>
        <w:rPr>
          <w:rFonts w:hint="eastAsia" w:ascii="宋体" w:hAnsi="宋体"/>
          <w:color w:val="000000"/>
          <w:sz w:val="24"/>
          <w:szCs w:val="24"/>
        </w:rPr>
        <w:t>以上报价铝锭基准价</w:t>
      </w:r>
      <w:r>
        <w:rPr>
          <w:rFonts w:hint="eastAsia" w:ascii="宋体" w:hAnsi="宋体"/>
          <w:color w:val="000000"/>
          <w:sz w:val="24"/>
          <w:szCs w:val="24"/>
          <w:highlight w:val="yellow"/>
        </w:rPr>
        <w:t xml:space="preserve"> </w:t>
      </w:r>
      <w:r>
        <w:rPr>
          <w:rFonts w:hint="eastAsia" w:ascii="宋体" w:hAnsi="宋体"/>
          <w:color w:val="000000"/>
          <w:sz w:val="24"/>
          <w:szCs w:val="24"/>
          <w:highlight w:val="yellow"/>
          <w:lang w:val="en-US" w:eastAsia="zh-CN"/>
        </w:rPr>
        <w:t>19000</w:t>
      </w:r>
      <w:r>
        <w:rPr>
          <w:rFonts w:hint="eastAsia" w:ascii="宋体" w:hAnsi="宋体"/>
          <w:color w:val="000000"/>
          <w:sz w:val="24"/>
          <w:szCs w:val="24"/>
        </w:rPr>
        <w:t xml:space="preserve"> 元/吨的铝板单价，结算单价随铝锭价格浮动。相关的浮动方式如下（铝锭以</w:t>
      </w:r>
      <w:r>
        <w:rPr>
          <w:rFonts w:hint="eastAsia" w:ascii="宋体" w:hAnsi="宋体"/>
          <w:color w:val="000000"/>
          <w:sz w:val="24"/>
          <w:szCs w:val="24"/>
          <w:lang w:eastAsia="zh-CN"/>
        </w:rPr>
        <w:t>长江有色</w:t>
      </w:r>
      <w:r>
        <w:rPr>
          <w:rFonts w:hint="eastAsia" w:ascii="宋体" w:hAnsi="宋体"/>
          <w:color w:val="000000"/>
          <w:sz w:val="24"/>
          <w:szCs w:val="24"/>
        </w:rPr>
        <w:t>确定）：</w:t>
      </w:r>
    </w:p>
    <w:p>
      <w:pPr>
        <w:widowControl/>
        <w:spacing w:line="500" w:lineRule="atLeast"/>
        <w:ind w:left="0" w:leftChars="0" w:firstLine="480" w:firstLineChars="200"/>
        <w:rPr>
          <w:rFonts w:hint="eastAsia" w:ascii="宋体" w:hAnsi="宋体"/>
          <w:color w:val="000000"/>
          <w:sz w:val="24"/>
          <w:szCs w:val="24"/>
          <w:lang w:eastAsia="zh-CN"/>
        </w:rPr>
      </w:pPr>
      <w:r>
        <w:rPr>
          <w:rFonts w:hint="eastAsia" w:ascii="宋体" w:hAnsi="宋体"/>
          <w:color w:val="000000"/>
          <w:sz w:val="24"/>
          <w:szCs w:val="24"/>
        </w:rPr>
        <w:t>乙方收到甲方订单当日（如下单日为非工作日，则以下单日的铝锭价按照后一个工作日的为准）铝锭价格在约定基准价的基础上每涨跌</w:t>
      </w:r>
      <w:r>
        <w:rPr>
          <w:rFonts w:hint="eastAsia" w:ascii="宋体" w:hAnsi="宋体"/>
          <w:color w:val="000000"/>
          <w:sz w:val="24"/>
          <w:szCs w:val="24"/>
          <w:lang w:val="en-US" w:eastAsia="zh-CN"/>
        </w:rPr>
        <w:t>5</w:t>
      </w:r>
      <w:r>
        <w:rPr>
          <w:rFonts w:hint="eastAsia" w:ascii="宋体" w:hAnsi="宋体"/>
          <w:color w:val="000000"/>
          <w:sz w:val="24"/>
          <w:szCs w:val="24"/>
        </w:rPr>
        <w:t>00元/吨，相应的铝板价格变化如下：3.0mm铝板单价增减</w:t>
      </w:r>
      <w:r>
        <w:rPr>
          <w:rFonts w:hint="eastAsia" w:ascii="宋体" w:hAnsi="宋体"/>
          <w:color w:val="000000"/>
          <w:sz w:val="24"/>
          <w:szCs w:val="24"/>
          <w:highlight w:val="yellow"/>
          <w:lang w:val="en-US" w:eastAsia="zh-CN"/>
        </w:rPr>
        <w:t xml:space="preserve">   </w:t>
      </w:r>
      <w:r>
        <w:rPr>
          <w:rFonts w:hint="eastAsia" w:ascii="宋体" w:hAnsi="宋体"/>
          <w:color w:val="000000"/>
          <w:sz w:val="24"/>
          <w:szCs w:val="24"/>
        </w:rPr>
        <w:t>元/㎡</w:t>
      </w:r>
      <w:r>
        <w:rPr>
          <w:rFonts w:hint="eastAsia" w:ascii="宋体" w:hAnsi="宋体"/>
          <w:color w:val="000000"/>
          <w:sz w:val="24"/>
          <w:szCs w:val="24"/>
          <w:lang w:eastAsia="zh-CN"/>
        </w:rPr>
        <w:t>、</w:t>
      </w:r>
      <w:r>
        <w:rPr>
          <w:rFonts w:hint="eastAsia" w:ascii="宋体" w:hAnsi="宋体"/>
          <w:color w:val="000000"/>
          <w:sz w:val="24"/>
          <w:szCs w:val="24"/>
        </w:rPr>
        <w:t>2.0mm铝板单价增减</w:t>
      </w:r>
      <w:r>
        <w:rPr>
          <w:rFonts w:hint="eastAsia" w:ascii="宋体" w:hAnsi="宋体"/>
          <w:color w:val="000000"/>
          <w:sz w:val="24"/>
          <w:szCs w:val="24"/>
          <w:highlight w:val="yellow"/>
          <w:lang w:val="en-US" w:eastAsia="zh-CN"/>
        </w:rPr>
        <w:t xml:space="preserve">   </w:t>
      </w:r>
      <w:r>
        <w:rPr>
          <w:rFonts w:hint="eastAsia" w:ascii="宋体" w:hAnsi="宋体"/>
          <w:color w:val="000000"/>
          <w:sz w:val="24"/>
          <w:szCs w:val="24"/>
        </w:rPr>
        <w:t>元/㎡</w:t>
      </w:r>
    </w:p>
    <w:p>
      <w:pPr>
        <w:numPr>
          <w:ilvl w:val="0"/>
          <w:numId w:val="3"/>
        </w:num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当合同在执行过程中增补数量超过合同总金额5%时，双方需签订补充协议，否则视为乙方放弃超出部分货款结算权利。</w:t>
      </w:r>
    </w:p>
    <w:p>
      <w:pPr>
        <w:numPr>
          <w:ilvl w:val="0"/>
          <w:numId w:val="3"/>
        </w:numPr>
        <w:spacing w:line="360" w:lineRule="auto"/>
        <w:ind w:left="0" w:leftChars="0" w:firstLine="480" w:firstLineChars="200"/>
        <w:rPr>
          <w:rFonts w:hint="eastAsia" w:ascii="宋体" w:hAnsi="宋体"/>
          <w:sz w:val="21"/>
          <w:szCs w:val="21"/>
          <w:lang w:val="en-US" w:eastAsia="zh-CN"/>
        </w:rPr>
      </w:pPr>
      <w:r>
        <w:rPr>
          <w:rFonts w:hint="eastAsia" w:ascii="宋体" w:hAnsi="宋体"/>
          <w:color w:val="000000"/>
          <w:sz w:val="24"/>
          <w:szCs w:val="24"/>
        </w:rPr>
        <w:t>乙方需使用甲方提供的方大专用保护膜和乙方自购气泡膜包装，边角用防震轻质量材料包裹，防划伤碰伤,</w:t>
      </w:r>
      <w:r>
        <w:rPr>
          <w:rFonts w:hint="eastAsia" w:ascii="宋体" w:hAnsi="宋体"/>
          <w:color w:val="000000"/>
          <w:sz w:val="24"/>
          <w:szCs w:val="24"/>
          <w:lang w:val="en-US" w:eastAsia="zh-CN"/>
        </w:rPr>
        <w:t>保护膜(5s规格)甲方按照1元/平米销售给乙方</w:t>
      </w:r>
      <w:r>
        <w:rPr>
          <w:rFonts w:hint="eastAsia" w:ascii="宋体" w:hAnsi="宋体"/>
          <w:sz w:val="21"/>
          <w:szCs w:val="21"/>
          <w:lang w:val="en-US" w:eastAsia="zh-CN"/>
        </w:rPr>
        <w:t>。</w:t>
      </w:r>
    </w:p>
    <w:p>
      <w:pPr>
        <w:numPr>
          <w:ilvl w:val="0"/>
          <w:numId w:val="3"/>
        </w:numPr>
        <w:spacing w:line="360" w:lineRule="auto"/>
        <w:ind w:left="0" w:leftChars="0"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若因交期紧急需甲方派专职人员前往乙方工厂驻场催货，所有发生费用由乙方承担。</w:t>
      </w:r>
    </w:p>
    <w:p>
      <w:pPr>
        <w:widowControl w:val="0"/>
        <w:numPr>
          <w:ilvl w:val="0"/>
          <w:numId w:val="0"/>
        </w:numPr>
        <w:spacing w:line="360" w:lineRule="auto"/>
        <w:ind w:right="-286" w:rightChars="-136"/>
        <w:jc w:val="both"/>
        <w:rPr>
          <w:rFonts w:ascii="宋体" w:hAnsi="宋体"/>
          <w:b/>
          <w:color w:val="000000"/>
          <w:kern w:val="2"/>
          <w:sz w:val="24"/>
        </w:rPr>
      </w:pPr>
      <w:r>
        <w:rPr>
          <w:rFonts w:hint="eastAsia" w:ascii="宋体" w:hAnsi="宋体"/>
          <w:b/>
          <w:color w:val="000000"/>
          <w:kern w:val="2"/>
          <w:sz w:val="24"/>
          <w:lang w:eastAsia="zh-CN"/>
        </w:rPr>
        <w:t>第二条</w:t>
      </w:r>
      <w:r>
        <w:rPr>
          <w:rFonts w:hint="eastAsia" w:ascii="宋体" w:hAnsi="宋体"/>
          <w:b/>
          <w:color w:val="000000"/>
          <w:kern w:val="2"/>
          <w:sz w:val="24"/>
          <w:lang w:val="en-US" w:eastAsia="zh-CN"/>
        </w:rPr>
        <w:t xml:space="preserve">  </w:t>
      </w:r>
      <w:r>
        <w:rPr>
          <w:rFonts w:hint="eastAsia" w:ascii="宋体" w:hAnsi="宋体"/>
          <w:b/>
          <w:color w:val="000000"/>
          <w:kern w:val="2"/>
          <w:sz w:val="24"/>
        </w:rPr>
        <w:t>质量要求及技术标准</w:t>
      </w:r>
    </w:p>
    <w:p>
      <w:pPr>
        <w:spacing w:line="420" w:lineRule="exact"/>
        <w:rPr>
          <w:rFonts w:ascii="宋体" w:hAnsi="宋体" w:cs="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sz w:val="24"/>
        </w:rPr>
        <w:t>加工过程包括：采购素材铝板、按甲方确认的图纸制作加工钣金、铝</w:t>
      </w:r>
      <w:r>
        <w:rPr>
          <w:rFonts w:hint="eastAsia" w:ascii="宋体" w:hAnsi="宋体"/>
          <w:sz w:val="24"/>
          <w:lang w:eastAsia="zh-CN"/>
        </w:rPr>
        <w:t>板氟碳喷涂</w:t>
      </w:r>
      <w:r>
        <w:rPr>
          <w:rFonts w:hint="eastAsia" w:ascii="宋体" w:hAnsi="宋体"/>
          <w:sz w:val="24"/>
        </w:rPr>
        <w:t>、包装、装车及运输；</w:t>
      </w:r>
    </w:p>
    <w:p>
      <w:pPr>
        <w:spacing w:line="420" w:lineRule="exact"/>
        <w:rPr>
          <w:rFonts w:hint="eastAsia" w:ascii="宋体" w:hAnsi="宋体" w:eastAsia="宋体" w:cs="宋体"/>
          <w:sz w:val="24"/>
          <w:szCs w:val="24"/>
          <w:lang w:val="en-US" w:eastAsia="zh-CN"/>
        </w:rPr>
      </w:pPr>
      <w:r>
        <w:rPr>
          <w:rFonts w:ascii="宋体" w:hAnsi="宋体" w:cs="宋体"/>
          <w:sz w:val="24"/>
          <w:szCs w:val="24"/>
        </w:rPr>
        <w:t>2</w:t>
      </w:r>
      <w:r>
        <w:rPr>
          <w:rFonts w:hint="eastAsia" w:ascii="宋体" w:hAnsi="宋体" w:cs="宋体"/>
          <w:sz w:val="24"/>
          <w:szCs w:val="24"/>
        </w:rPr>
        <w:t>、</w:t>
      </w:r>
      <w:r>
        <w:rPr>
          <w:rFonts w:ascii="宋体" w:hAnsi="宋体" w:cs="宋体"/>
          <w:sz w:val="24"/>
          <w:szCs w:val="24"/>
        </w:rPr>
        <w:t xml:space="preserve"> </w:t>
      </w:r>
      <w:r>
        <w:rPr>
          <w:rFonts w:hint="eastAsia" w:ascii="宋体" w:hAnsi="宋体"/>
          <w:sz w:val="24"/>
        </w:rPr>
        <w:t>乙方必须严格按照国标及甲方确认的加工图纸所要求的加工尺寸、技术要求进行加工。</w:t>
      </w:r>
    </w:p>
    <w:p>
      <w:pPr>
        <w:spacing w:line="420" w:lineRule="exact"/>
        <w:rPr>
          <w:rFonts w:ascii="宋体" w:hAnsi="宋体" w:cs="宋体"/>
          <w:sz w:val="24"/>
          <w:szCs w:val="24"/>
        </w:rPr>
      </w:pPr>
      <w:r>
        <w:rPr>
          <w:rFonts w:ascii="宋体" w:hAnsi="宋体" w:cs="宋体"/>
          <w:sz w:val="24"/>
          <w:szCs w:val="24"/>
        </w:rPr>
        <w:t>3</w:t>
      </w:r>
      <w:r>
        <w:rPr>
          <w:rFonts w:hint="eastAsia" w:ascii="宋体" w:hAnsi="宋体" w:cs="宋体"/>
          <w:sz w:val="24"/>
          <w:szCs w:val="24"/>
        </w:rPr>
        <w:t>、</w:t>
      </w:r>
      <w:r>
        <w:rPr>
          <w:rFonts w:ascii="宋体" w:hAnsi="宋体" w:cs="宋体"/>
          <w:sz w:val="24"/>
          <w:szCs w:val="24"/>
        </w:rPr>
        <w:t xml:space="preserve"> </w:t>
      </w:r>
      <w:r>
        <w:rPr>
          <w:rFonts w:hint="eastAsia" w:ascii="宋体" w:hAnsi="宋体"/>
          <w:sz w:val="24"/>
        </w:rPr>
        <w:t>每块铝单板背面标明铝板编号。</w:t>
      </w:r>
    </w:p>
    <w:p>
      <w:pPr>
        <w:adjustRightInd w:val="0"/>
        <w:snapToGrid w:val="0"/>
        <w:spacing w:line="300" w:lineRule="auto"/>
        <w:rPr>
          <w:rFonts w:ascii="宋体" w:hAnsi="宋体"/>
          <w:sz w:val="24"/>
        </w:rPr>
      </w:pPr>
      <w:r>
        <w:rPr>
          <w:rFonts w:ascii="宋体" w:hAnsi="宋体" w:cs="宋体"/>
          <w:sz w:val="24"/>
          <w:szCs w:val="24"/>
        </w:rPr>
        <w:t>4</w:t>
      </w:r>
      <w:r>
        <w:rPr>
          <w:rFonts w:hint="eastAsia" w:ascii="宋体" w:hAnsi="宋体" w:cs="宋体"/>
          <w:sz w:val="24"/>
          <w:szCs w:val="24"/>
        </w:rPr>
        <w:t>、</w:t>
      </w:r>
      <w:r>
        <w:rPr>
          <w:rFonts w:hint="eastAsia" w:ascii="宋体" w:hAnsi="宋体"/>
          <w:sz w:val="24"/>
        </w:rPr>
        <w:t>乙方提供的产品须同时符合以下质量标准：</w:t>
      </w:r>
    </w:p>
    <w:p>
      <w:pPr>
        <w:adjustRightInd w:val="0"/>
        <w:snapToGrid w:val="0"/>
        <w:spacing w:line="300" w:lineRule="auto"/>
        <w:ind w:firstLine="480" w:firstLineChars="200"/>
        <w:rPr>
          <w:rFonts w:ascii="宋体" w:hAnsi="宋体"/>
          <w:sz w:val="24"/>
        </w:rPr>
      </w:pPr>
      <w:r>
        <w:rPr>
          <w:rFonts w:hint="eastAsia" w:ascii="宋体" w:hAnsi="宋体"/>
          <w:sz w:val="24"/>
        </w:rPr>
        <w:t>4.1国标铝板除铝板板材按GB/T3880执行外，产品其它要求应符合JGJ133-2001《金属及石材幕墙工程技术规范》及甲方加工图要求；铝板及其加强筋必须是无偏差。</w:t>
      </w:r>
    </w:p>
    <w:p>
      <w:pPr>
        <w:adjustRightInd w:val="0"/>
        <w:snapToGrid w:val="0"/>
        <w:spacing w:line="300" w:lineRule="auto"/>
        <w:ind w:firstLine="480" w:firstLineChars="200"/>
        <w:rPr>
          <w:rFonts w:ascii="宋体" w:hAnsi="宋体"/>
          <w:sz w:val="24"/>
        </w:rPr>
      </w:pPr>
      <w:r>
        <w:rPr>
          <w:rFonts w:hint="eastAsia" w:ascii="宋体" w:hAnsi="宋体"/>
          <w:sz w:val="24"/>
        </w:rPr>
        <w:t>4.2铝板采用国产优质正品铝材，铝单板的技术要求及质量验收标准依据国家标准执行。</w:t>
      </w:r>
    </w:p>
    <w:p>
      <w:pPr>
        <w:adjustRightInd w:val="0"/>
        <w:snapToGrid w:val="0"/>
        <w:spacing w:line="300" w:lineRule="auto"/>
        <w:ind w:firstLine="480" w:firstLineChars="200"/>
        <w:rPr>
          <w:rFonts w:ascii="宋体" w:hAnsi="宋体"/>
          <w:sz w:val="24"/>
        </w:rPr>
      </w:pPr>
      <w:r>
        <w:rPr>
          <w:rFonts w:hint="eastAsia" w:ascii="宋体" w:hAnsi="宋体"/>
          <w:sz w:val="24"/>
        </w:rPr>
        <w:t>4.3符合国家标准：素材铝板应符合GB3380-2006，GB/T 3880.2，GB/T3190国家标准，GB/T3190-2008《变形铝及铝合金化学成分》标准，GB3380-97《铝及铝合金轧制板材》标准，GB/T228《金属拉伸实验法》，GB/T232《金属材料弯曲试验方法》标准，GB/T16865-1997《变形铝、镁及其合金加工制品拉伸试验用试样》标准，GB/T 23443-2009建筑装饰用铝单板标准；喷涂涂层应符合JG/T133-2000标准等。</w:t>
      </w:r>
    </w:p>
    <w:p>
      <w:pPr>
        <w:adjustRightInd w:val="0"/>
        <w:snapToGrid w:val="0"/>
        <w:spacing w:line="300" w:lineRule="auto"/>
        <w:ind w:firstLine="480" w:firstLineChars="200"/>
        <w:rPr>
          <w:rFonts w:ascii="宋体" w:hAnsi="宋体"/>
          <w:sz w:val="24"/>
        </w:rPr>
      </w:pPr>
      <w:r>
        <w:rPr>
          <w:rFonts w:hint="eastAsia" w:ascii="宋体" w:hAnsi="宋体"/>
          <w:sz w:val="24"/>
        </w:rPr>
        <w:t>4.4符合甲方特别质量要求：</w:t>
      </w:r>
      <w:r>
        <w:rPr>
          <w:rFonts w:hint="eastAsia" w:ascii="宋体" w:hAnsi="宋体"/>
          <w:sz w:val="24"/>
          <w:u w:val="single"/>
        </w:rPr>
        <w:t>按照甲方、业主、监理封样执行</w:t>
      </w:r>
    </w:p>
    <w:p>
      <w:pPr>
        <w:adjustRightInd w:val="0"/>
        <w:snapToGrid w:val="0"/>
        <w:spacing w:line="300" w:lineRule="auto"/>
        <w:ind w:firstLine="480" w:firstLineChars="200"/>
        <w:rPr>
          <w:rFonts w:hint="eastAsia" w:ascii="宋体" w:hAnsi="宋体" w:eastAsia="宋体"/>
          <w:sz w:val="24"/>
          <w:lang w:eastAsia="zh-CN"/>
        </w:rPr>
      </w:pPr>
      <w:r>
        <w:rPr>
          <w:rFonts w:hint="eastAsia" w:ascii="宋体" w:hAnsi="宋体"/>
          <w:sz w:val="24"/>
        </w:rPr>
        <w:t>4.5每件铝单板的折边处不得有肉眼可视裂纹；焊接处不得有漏焊等缺陷，焊接表面须打</w:t>
      </w:r>
      <w:r>
        <w:rPr>
          <w:rFonts w:hint="eastAsia" w:ascii="宋体" w:hAnsi="宋体"/>
          <w:sz w:val="24"/>
          <w:lang w:eastAsia="zh-CN"/>
        </w:rPr>
        <w:t>磨。</w:t>
      </w:r>
    </w:p>
    <w:p>
      <w:pPr>
        <w:adjustRightInd w:val="0"/>
        <w:snapToGrid w:val="0"/>
        <w:spacing w:line="300" w:lineRule="auto"/>
        <w:ind w:firstLine="480" w:firstLineChars="200"/>
        <w:rPr>
          <w:rFonts w:ascii="宋体" w:hAnsi="宋体"/>
          <w:sz w:val="24"/>
        </w:rPr>
      </w:pPr>
      <w:r>
        <w:rPr>
          <w:rFonts w:hint="eastAsia" w:ascii="宋体" w:hAnsi="宋体"/>
          <w:sz w:val="24"/>
        </w:rPr>
        <w:t>4.6如果是成套产品，对附件的质量要求：</w:t>
      </w:r>
      <w:r>
        <w:rPr>
          <w:rFonts w:hint="eastAsia" w:ascii="宋体" w:hAnsi="宋体"/>
          <w:sz w:val="24"/>
          <w:u w:val="single"/>
        </w:rPr>
        <w:t>满足工程质量要求及国家标准要求。</w:t>
      </w:r>
    </w:p>
    <w:p>
      <w:pPr>
        <w:adjustRightInd w:val="0"/>
        <w:snapToGrid w:val="0"/>
        <w:spacing w:line="300" w:lineRule="auto"/>
        <w:ind w:firstLine="480" w:firstLineChars="200"/>
        <w:rPr>
          <w:rFonts w:ascii="宋体" w:hAnsi="宋体"/>
          <w:sz w:val="24"/>
        </w:rPr>
      </w:pPr>
      <w:r>
        <w:rPr>
          <w:rFonts w:hint="eastAsia" w:ascii="宋体" w:hAnsi="宋体"/>
          <w:sz w:val="24"/>
        </w:rPr>
        <w:t>4.7实行抽样检验质量的产品，应采用的抽样标准或抽验方法和比例：按GB/T16865-1997《变形铝、镁及其合金加工制品拉伸试验用试样》标准规定执行。应采用的抽样标准或抽验方法和比例：</w:t>
      </w:r>
      <w:r>
        <w:rPr>
          <w:rFonts w:hint="eastAsia" w:ascii="宋体" w:hAnsi="宋体"/>
          <w:sz w:val="24"/>
          <w:u w:val="single"/>
        </w:rPr>
        <w:t>抽验方法为随机抽样，抽样比例按国家有关规范要求进行抽样</w:t>
      </w:r>
      <w:r>
        <w:rPr>
          <w:rFonts w:hint="eastAsia" w:ascii="宋体" w:hAnsi="宋体"/>
          <w:sz w:val="24"/>
        </w:rPr>
        <w:t>。</w:t>
      </w:r>
    </w:p>
    <w:p>
      <w:pPr>
        <w:adjustRightInd w:val="0"/>
        <w:snapToGrid w:val="0"/>
        <w:spacing w:line="300" w:lineRule="auto"/>
        <w:ind w:firstLine="480" w:firstLineChars="200"/>
        <w:rPr>
          <w:rFonts w:ascii="宋体" w:hAnsi="宋体"/>
          <w:sz w:val="24"/>
        </w:rPr>
      </w:pPr>
      <w:r>
        <w:rPr>
          <w:rFonts w:hint="eastAsia" w:ascii="宋体" w:hAnsi="宋体"/>
          <w:sz w:val="24"/>
        </w:rPr>
        <w:t>4.8产品的技术要求：满足工程质量要求及国家标准。</w:t>
      </w:r>
    </w:p>
    <w:p>
      <w:pPr>
        <w:adjustRightInd w:val="0"/>
        <w:snapToGrid w:val="0"/>
        <w:spacing w:line="300" w:lineRule="auto"/>
        <w:ind w:firstLine="480" w:firstLineChars="200"/>
        <w:rPr>
          <w:rFonts w:ascii="宋体" w:hAnsi="宋体" w:cs="宋体"/>
          <w:sz w:val="24"/>
          <w:szCs w:val="24"/>
        </w:rPr>
      </w:pPr>
      <w:r>
        <w:rPr>
          <w:rFonts w:hint="eastAsia" w:ascii="宋体" w:hAnsi="宋体"/>
          <w:sz w:val="24"/>
        </w:rPr>
        <w:t xml:space="preserve">4.9铝板要求符合国家标准中相对条款执行；如与甲方的设计要求及其他要求冲突时，在不低于国家标准的情况下，以甲方标准为准。 </w:t>
      </w:r>
    </w:p>
    <w:p>
      <w:pPr>
        <w:spacing w:line="420" w:lineRule="exact"/>
        <w:ind w:left="1"/>
        <w:rPr>
          <w:rFonts w:ascii="宋体" w:hAnsi="宋体" w:cs="宋体"/>
          <w:sz w:val="24"/>
          <w:szCs w:val="24"/>
        </w:rPr>
      </w:pPr>
      <w:r>
        <w:rPr>
          <w:rFonts w:ascii="宋体" w:hAnsi="宋体" w:cs="宋体"/>
          <w:sz w:val="24"/>
          <w:szCs w:val="24"/>
        </w:rPr>
        <w:t>5</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sz w:val="24"/>
        </w:rPr>
        <w:t>外观质量：幕墙板外观应整洁，非装饰面无影响产品使用的损伤，装饰面外观无压痕、印痕、凹凸、波纹、划伤、擦伤等。</w:t>
      </w:r>
      <w:r>
        <w:rPr>
          <w:rFonts w:ascii="宋体" w:hAnsi="宋体" w:cs="宋体"/>
          <w:sz w:val="24"/>
          <w:szCs w:val="24"/>
        </w:rPr>
        <w:t xml:space="preserve">                                                         </w:t>
      </w:r>
    </w:p>
    <w:p>
      <w:pPr>
        <w:adjustRightInd w:val="0"/>
        <w:snapToGrid w:val="0"/>
        <w:spacing w:line="300" w:lineRule="auto"/>
        <w:rPr>
          <w:rFonts w:ascii="宋体" w:hAnsi="宋体"/>
          <w:sz w:val="24"/>
        </w:rPr>
      </w:pPr>
      <w:r>
        <w:rPr>
          <w:rFonts w:hint="eastAsia" w:ascii="宋体" w:hAnsi="宋体" w:cs="宋体"/>
          <w:sz w:val="24"/>
          <w:szCs w:val="24"/>
          <w:lang w:val="en-US" w:eastAsia="zh-CN"/>
        </w:rPr>
        <w:t>6</w:t>
      </w:r>
      <w:r>
        <w:rPr>
          <w:rFonts w:hint="eastAsia" w:ascii="宋体" w:hAnsi="宋体" w:cs="宋体"/>
          <w:sz w:val="24"/>
          <w:szCs w:val="24"/>
        </w:rPr>
        <w:t>、</w:t>
      </w:r>
      <w:r>
        <w:rPr>
          <w:rFonts w:ascii="宋体" w:hAnsi="宋体" w:cs="宋体"/>
          <w:sz w:val="24"/>
          <w:szCs w:val="24"/>
        </w:rPr>
        <w:t xml:space="preserve"> </w:t>
      </w:r>
      <w:r>
        <w:rPr>
          <w:rFonts w:hint="eastAsia" w:ascii="宋体" w:hAnsi="宋体"/>
          <w:sz w:val="24"/>
        </w:rPr>
        <w:t>尺寸偏差：</w:t>
      </w:r>
    </w:p>
    <w:p>
      <w:pPr>
        <w:adjustRightInd w:val="0"/>
        <w:snapToGrid w:val="0"/>
        <w:spacing w:line="300" w:lineRule="auto"/>
        <w:ind w:firstLine="480" w:firstLineChars="200"/>
        <w:rPr>
          <w:rFonts w:ascii="宋体" w:hAnsi="宋体"/>
          <w:sz w:val="24"/>
        </w:rPr>
      </w:pPr>
      <w:r>
        <w:rPr>
          <w:rFonts w:hint="eastAsia" w:ascii="宋体" w:hAnsi="宋体"/>
          <w:sz w:val="24"/>
        </w:rPr>
        <w:t>6.1幕墙用氟碳喷漆铝单板</w:t>
      </w:r>
    </w:p>
    <w:p>
      <w:pPr>
        <w:adjustRightInd w:val="0"/>
        <w:snapToGrid w:val="0"/>
        <w:spacing w:line="300" w:lineRule="auto"/>
        <w:ind w:firstLine="480" w:firstLineChars="200"/>
        <w:rPr>
          <w:rFonts w:ascii="宋体" w:hAnsi="宋体"/>
          <w:sz w:val="24"/>
        </w:rPr>
      </w:pPr>
      <w:r>
        <w:rPr>
          <w:rFonts w:hint="eastAsia" w:ascii="宋体" w:hAnsi="宋体"/>
          <w:sz w:val="24"/>
        </w:rPr>
        <w:t>长宽在2000mm内，允许偏差±1mm；长宽在2000mm以上，允许偏差±1.5mm；铝单板长度在2000mm以内，对角线允许偏差±2.0mm；铝单板长度在2000mm以上，对角线允许偏差±3.0mm；折边高度允许偏差±0.5mm。</w:t>
      </w:r>
    </w:p>
    <w:p>
      <w:pPr>
        <w:adjustRightInd w:val="0"/>
        <w:snapToGrid w:val="0"/>
        <w:spacing w:line="300" w:lineRule="auto"/>
        <w:ind w:firstLine="480" w:firstLineChars="200"/>
        <w:rPr>
          <w:rFonts w:ascii="宋体" w:hAnsi="宋体" w:cs="宋体"/>
          <w:sz w:val="24"/>
          <w:szCs w:val="24"/>
        </w:rPr>
      </w:pPr>
      <w:r>
        <w:rPr>
          <w:rFonts w:hint="eastAsia" w:ascii="宋体" w:hAnsi="宋体"/>
          <w:sz w:val="24"/>
        </w:rPr>
        <w:t>6.2建筑装饰用铝单板长度≤2000mm，误差±2.0mm（室外用），板材的两对角线长度偏差不大于3mm。</w:t>
      </w:r>
    </w:p>
    <w:p>
      <w:pPr>
        <w:spacing w:line="420" w:lineRule="exact"/>
        <w:rPr>
          <w:rFonts w:ascii="宋体" w:hAnsi="宋体" w:cs="宋体"/>
          <w:sz w:val="24"/>
          <w:szCs w:val="24"/>
        </w:rPr>
      </w:pPr>
      <w:r>
        <w:rPr>
          <w:rFonts w:hint="eastAsia" w:ascii="宋体" w:hAnsi="宋体" w:cs="宋体"/>
          <w:color w:val="000000"/>
          <w:sz w:val="24"/>
          <w:szCs w:val="24"/>
          <w:lang w:val="en-US" w:eastAsia="zh-CN"/>
        </w:rPr>
        <w:t>7</w:t>
      </w:r>
      <w:r>
        <w:rPr>
          <w:rFonts w:hint="eastAsia" w:ascii="宋体" w:hAnsi="宋体" w:cs="宋体"/>
          <w:color w:val="000000"/>
          <w:sz w:val="24"/>
          <w:szCs w:val="24"/>
        </w:rPr>
        <w:t>、</w:t>
      </w:r>
      <w:r>
        <w:rPr>
          <w:rFonts w:ascii="宋体" w:hAnsi="宋体" w:cs="宋体"/>
          <w:sz w:val="24"/>
          <w:szCs w:val="24"/>
        </w:rPr>
        <w:t xml:space="preserve"> </w:t>
      </w:r>
      <w:r>
        <w:rPr>
          <w:rFonts w:hint="eastAsia" w:ascii="宋体" w:hAnsi="宋体" w:cs="宋体"/>
          <w:sz w:val="24"/>
          <w:szCs w:val="24"/>
        </w:rPr>
        <w:t>合同封样</w:t>
      </w:r>
    </w:p>
    <w:p>
      <w:pPr>
        <w:spacing w:line="420" w:lineRule="exact"/>
        <w:rPr>
          <w:rFonts w:ascii="宋体" w:hAns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合同签订生效后，正式批量生产前，甲乙双方必须提供书面确认包括：选用原材料的品牌、名称、规格、型号、技术参数等的正式文件，需要提供样品时，在样品上需注明相关材料名称、规格、品牌、技术参数等信息，同时提供相关材料的检测报告、原材料品牌及产地证明、出厂检验报告及产品合格证等书面资料。</w:t>
      </w:r>
    </w:p>
    <w:p>
      <w:pPr>
        <w:spacing w:line="420" w:lineRule="exact"/>
        <w:rPr>
          <w:rFonts w:ascii="宋体" w:hAnsi="宋体"/>
          <w:color w:val="000000"/>
          <w:kern w:val="2"/>
          <w:sz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乙方确系因客观原因无法购买到封样样品选定承诺的品牌，应优先选择合同规定品牌范围内的厂家，乙方确实无法提供合同条款规定的品牌材料，应当参照甲方推荐厂家或其他品牌。只要乙方需更换封样样品均须向甲方书面说明情况，但必须经甲方书面确认同意后方可采购，同时价格须甲方重新核定，若高于甲方要求品牌，由乙方自行承担差价部分，若低于甲方要求品牌，差价由甲方受益。</w:t>
      </w:r>
    </w:p>
    <w:p>
      <w:pPr>
        <w:widowControl w:val="0"/>
        <w:numPr>
          <w:ilvl w:val="0"/>
          <w:numId w:val="0"/>
        </w:numPr>
        <w:spacing w:line="360" w:lineRule="auto"/>
        <w:ind w:right="-286" w:rightChars="-136"/>
        <w:jc w:val="both"/>
        <w:rPr>
          <w:rFonts w:ascii="宋体" w:hAnsi="宋体"/>
          <w:b/>
          <w:color w:val="000000"/>
          <w:kern w:val="2"/>
          <w:sz w:val="24"/>
        </w:rPr>
      </w:pPr>
      <w:r>
        <w:rPr>
          <w:rFonts w:hint="eastAsia" w:ascii="宋体" w:hAnsi="宋体"/>
          <w:b/>
          <w:color w:val="000000"/>
          <w:kern w:val="2"/>
          <w:sz w:val="24"/>
          <w:lang w:eastAsia="zh-CN"/>
        </w:rPr>
        <w:t>第三条</w:t>
      </w:r>
      <w:r>
        <w:rPr>
          <w:rFonts w:hint="eastAsia" w:ascii="宋体" w:hAnsi="宋体"/>
          <w:b/>
          <w:color w:val="000000"/>
          <w:kern w:val="2"/>
          <w:sz w:val="24"/>
          <w:lang w:val="en-US" w:eastAsia="zh-CN"/>
        </w:rPr>
        <w:t xml:space="preserve">  </w:t>
      </w:r>
      <w:r>
        <w:rPr>
          <w:rFonts w:hint="eastAsia" w:ascii="宋体" w:hAnsi="宋体"/>
          <w:b/>
          <w:color w:val="000000"/>
          <w:kern w:val="2"/>
          <w:sz w:val="24"/>
        </w:rPr>
        <w:t>交货期、交货地点、图纸面积及发货数量的确认</w:t>
      </w:r>
    </w:p>
    <w:p>
      <w:pPr>
        <w:widowControl w:val="0"/>
        <w:spacing w:line="360" w:lineRule="auto"/>
        <w:ind w:firstLine="480" w:firstLineChars="200"/>
        <w:jc w:val="both"/>
        <w:rPr>
          <w:rFonts w:ascii="宋体" w:hAnsi="宋体"/>
          <w:color w:val="000000"/>
          <w:kern w:val="2"/>
          <w:sz w:val="24"/>
          <w:szCs w:val="24"/>
        </w:rPr>
      </w:pPr>
      <w:r>
        <w:rPr>
          <w:rFonts w:hint="eastAsia" w:ascii="宋体" w:hAnsi="宋体"/>
          <w:color w:val="000000"/>
          <w:kern w:val="2"/>
          <w:sz w:val="24"/>
        </w:rPr>
        <w:t>1、乙方按甲方订单（含下料单/工艺图）进行加工生产，乙方自收到甲方提供的订单（含下料单/工艺图）及确认的喷涂油漆颜色后15日内交首批铝板到甲方</w:t>
      </w:r>
      <w:r>
        <w:rPr>
          <w:rFonts w:hint="eastAsia" w:ascii="宋体" w:hAnsi="宋体"/>
          <w:color w:val="000000"/>
          <w:kern w:val="2"/>
          <w:sz w:val="24"/>
          <w:lang w:eastAsia="zh-CN"/>
        </w:rPr>
        <w:t>指定</w:t>
      </w:r>
      <w:r>
        <w:rPr>
          <w:rFonts w:hint="eastAsia" w:ascii="宋体" w:hAnsi="宋体"/>
          <w:color w:val="000000"/>
          <w:kern w:val="2"/>
          <w:sz w:val="24"/>
          <w:u w:val="single"/>
        </w:rPr>
        <w:t xml:space="preserve"> </w:t>
      </w:r>
      <w:r>
        <w:rPr>
          <w:rFonts w:hint="eastAsia" w:ascii="宋体" w:hAnsi="宋体"/>
          <w:color w:val="000000"/>
          <w:kern w:val="2"/>
          <w:sz w:val="24"/>
          <w:u w:val="single"/>
          <w:lang w:eastAsia="zh-CN"/>
        </w:rPr>
        <w:t>工厂</w:t>
      </w:r>
      <w:r>
        <w:rPr>
          <w:rFonts w:hint="eastAsia" w:ascii="宋体" w:hAnsi="宋体"/>
          <w:color w:val="000000"/>
          <w:kern w:val="2"/>
          <w:sz w:val="24"/>
          <w:u w:val="single"/>
          <w:lang w:val="en-US" w:eastAsia="zh-CN"/>
        </w:rPr>
        <w:t>/工地</w:t>
      </w:r>
      <w:r>
        <w:rPr>
          <w:rFonts w:hint="eastAsia" w:ascii="宋体" w:hAnsi="宋体"/>
          <w:color w:val="000000"/>
          <w:kern w:val="2"/>
          <w:sz w:val="24"/>
          <w:u w:val="single"/>
        </w:rPr>
        <w:t xml:space="preserve"> </w:t>
      </w:r>
      <w:r>
        <w:rPr>
          <w:rFonts w:hint="eastAsia" w:ascii="宋体" w:hAnsi="宋体"/>
          <w:color w:val="000000"/>
          <w:kern w:val="2"/>
          <w:sz w:val="24"/>
        </w:rPr>
        <w:t>，余下数量按工程进度及甲方项目部要求分批交货。</w:t>
      </w:r>
      <w:r>
        <w:rPr>
          <w:rFonts w:hint="eastAsia" w:ascii="宋体" w:hAnsi="宋体"/>
          <w:color w:val="000000"/>
          <w:kern w:val="2"/>
          <w:sz w:val="24"/>
          <w:szCs w:val="24"/>
        </w:rPr>
        <w:t>乙方送货回单必须有甲方仓管员或者授权人签字和盖章方能作为结算凭据</w:t>
      </w:r>
      <w:r>
        <w:rPr>
          <w:rFonts w:hint="eastAsia" w:ascii="宋体" w:hAnsi="宋体"/>
          <w:color w:val="000000"/>
          <w:kern w:val="2"/>
          <w:sz w:val="24"/>
        </w:rPr>
        <w:t>。</w:t>
      </w:r>
    </w:p>
    <w:p>
      <w:pPr>
        <w:widowControl w:val="0"/>
        <w:autoSpaceDE w:val="0"/>
        <w:autoSpaceDN w:val="0"/>
        <w:adjustRightInd w:val="0"/>
        <w:spacing w:line="360" w:lineRule="auto"/>
        <w:ind w:firstLine="480" w:firstLineChars="200"/>
        <w:rPr>
          <w:rFonts w:ascii="宋体"/>
          <w:color w:val="000000"/>
          <w:sz w:val="24"/>
          <w:lang w:val="zh-CN"/>
        </w:rPr>
      </w:pPr>
      <w:r>
        <w:rPr>
          <w:rFonts w:hint="eastAsia" w:ascii="宋体"/>
          <w:color w:val="000000"/>
          <w:sz w:val="24"/>
          <w:lang w:val="zh-CN"/>
        </w:rPr>
        <w:t>2、图纸面积及发货数量的确认：</w:t>
      </w:r>
    </w:p>
    <w:p>
      <w:pPr>
        <w:widowControl w:val="0"/>
        <w:autoSpaceDE w:val="0"/>
        <w:autoSpaceDN w:val="0"/>
        <w:adjustRightInd w:val="0"/>
        <w:spacing w:line="360" w:lineRule="auto"/>
        <w:ind w:firstLine="480" w:firstLineChars="200"/>
        <w:rPr>
          <w:rFonts w:ascii="宋体"/>
          <w:color w:val="000000"/>
          <w:sz w:val="24"/>
          <w:lang w:val="zh-CN"/>
        </w:rPr>
      </w:pPr>
      <w:r>
        <w:rPr>
          <w:rFonts w:ascii="宋体"/>
          <w:color w:val="000000"/>
          <w:sz w:val="24"/>
          <w:lang w:val="zh-CN"/>
        </w:rPr>
        <w:t>1)</w:t>
      </w:r>
      <w:r>
        <w:rPr>
          <w:rFonts w:hint="eastAsia" w:ascii="宋体"/>
          <w:color w:val="000000"/>
          <w:sz w:val="24"/>
          <w:lang w:val="zh-CN"/>
        </w:rPr>
        <w:t>图纸面积确认：每批订单由甲方下单后，乙方在收到订单及图纸后</w:t>
      </w:r>
      <w:r>
        <w:rPr>
          <w:rFonts w:ascii="宋体"/>
          <w:color w:val="000000"/>
          <w:sz w:val="24"/>
          <w:lang w:val="zh-CN"/>
        </w:rPr>
        <w:t>5</w:t>
      </w:r>
      <w:r>
        <w:rPr>
          <w:rFonts w:hint="eastAsia" w:ascii="宋体"/>
          <w:color w:val="000000"/>
          <w:sz w:val="24"/>
          <w:lang w:val="zh-CN"/>
        </w:rPr>
        <w:t>日内反馈每批订单面积的计算过程和具体数量，甲方收悉后在</w:t>
      </w:r>
      <w:r>
        <w:rPr>
          <w:rFonts w:ascii="宋体"/>
          <w:color w:val="000000"/>
          <w:sz w:val="24"/>
          <w:lang w:val="zh-CN"/>
        </w:rPr>
        <w:t>5</w:t>
      </w:r>
      <w:r>
        <w:rPr>
          <w:rFonts w:hint="eastAsia" w:ascii="宋体"/>
          <w:color w:val="000000"/>
          <w:sz w:val="24"/>
          <w:lang w:val="zh-CN"/>
        </w:rPr>
        <w:t>天内将结果确认并反馈，乙方收到甲方确认的反馈结果后将在加工完毕后按双方确认的图纸面积列入发货清单后安排发货。双方确认面积的时间已包含在总的加工周期内，乙方不得以甲方没有及时确认为由延长交货时间。</w:t>
      </w:r>
    </w:p>
    <w:p>
      <w:pPr>
        <w:widowControl w:val="0"/>
        <w:autoSpaceDE w:val="0"/>
        <w:autoSpaceDN w:val="0"/>
        <w:adjustRightInd w:val="0"/>
        <w:spacing w:line="360" w:lineRule="auto"/>
        <w:ind w:firstLine="480" w:firstLineChars="200"/>
        <w:rPr>
          <w:rFonts w:ascii="宋体" w:hAnsi="宋体"/>
          <w:color w:val="000000"/>
          <w:kern w:val="2"/>
          <w:sz w:val="24"/>
        </w:rPr>
      </w:pPr>
      <w:r>
        <w:rPr>
          <w:rFonts w:ascii="宋体"/>
          <w:color w:val="000000"/>
          <w:sz w:val="24"/>
          <w:lang w:val="zh-CN"/>
        </w:rPr>
        <w:t>2)</w:t>
      </w:r>
      <w:r>
        <w:rPr>
          <w:rFonts w:hint="eastAsia" w:ascii="宋体"/>
          <w:color w:val="000000"/>
          <w:sz w:val="24"/>
          <w:lang w:val="zh-CN"/>
        </w:rPr>
        <w:t>发货数量确认：每批发货当日内，乙方将发货单邮件至（同时发送发货单电子文档）甲方采购部，由甲方采购部负责督促驻工地项目部于该批货到工地</w:t>
      </w:r>
      <w:r>
        <w:rPr>
          <w:rFonts w:ascii="宋体"/>
          <w:color w:val="000000"/>
          <w:sz w:val="24"/>
          <w:lang w:val="zh-CN"/>
        </w:rPr>
        <w:t>48</w:t>
      </w:r>
      <w:r>
        <w:rPr>
          <w:rFonts w:hint="eastAsia" w:ascii="宋体"/>
          <w:color w:val="000000"/>
          <w:sz w:val="24"/>
          <w:lang w:val="zh-CN"/>
        </w:rPr>
        <w:t>小时以内对该批货物的数量、件数、外观、外观颜色进行初步验收，并将工地签收的相关验收单据原件寄回甲方采购部核对并办理结算。</w:t>
      </w:r>
      <w:r>
        <w:rPr>
          <w:rFonts w:hint="eastAsia" w:ascii="宋体" w:hAnsi="宋体"/>
          <w:color w:val="000000"/>
          <w:kern w:val="2"/>
          <w:sz w:val="24"/>
        </w:rPr>
        <w:t xml:space="preserve">    </w:t>
      </w:r>
    </w:p>
    <w:p>
      <w:pPr>
        <w:widowControl w:val="0"/>
        <w:numPr>
          <w:ilvl w:val="0"/>
          <w:numId w:val="0"/>
        </w:numPr>
        <w:spacing w:line="360" w:lineRule="auto"/>
        <w:ind w:leftChars="-13" w:right="-286" w:rightChars="-136"/>
        <w:jc w:val="both"/>
        <w:rPr>
          <w:rFonts w:ascii="宋体" w:hAnsi="宋体"/>
          <w:b/>
          <w:color w:val="000000"/>
          <w:kern w:val="2"/>
          <w:sz w:val="24"/>
        </w:rPr>
      </w:pPr>
      <w:r>
        <w:rPr>
          <w:rFonts w:hint="eastAsia" w:ascii="宋体" w:hAnsi="宋体"/>
          <w:b/>
          <w:color w:val="000000"/>
          <w:kern w:val="2"/>
          <w:sz w:val="24"/>
          <w:lang w:eastAsia="zh-CN"/>
        </w:rPr>
        <w:t>第四条</w:t>
      </w:r>
      <w:r>
        <w:rPr>
          <w:rFonts w:hint="eastAsia" w:ascii="宋体" w:hAnsi="宋体"/>
          <w:b/>
          <w:color w:val="000000"/>
          <w:kern w:val="2"/>
          <w:sz w:val="24"/>
          <w:lang w:val="en-US" w:eastAsia="zh-CN"/>
        </w:rPr>
        <w:t xml:space="preserve">  </w:t>
      </w:r>
      <w:r>
        <w:rPr>
          <w:rFonts w:hint="eastAsia" w:ascii="宋体" w:hAnsi="宋体"/>
          <w:b/>
          <w:color w:val="000000"/>
          <w:kern w:val="2"/>
          <w:sz w:val="24"/>
        </w:rPr>
        <w:t>结算方式及付款方式</w:t>
      </w:r>
    </w:p>
    <w:p>
      <w:pPr>
        <w:widowControl w:val="0"/>
        <w:autoSpaceDE w:val="0"/>
        <w:autoSpaceDN w:val="0"/>
        <w:adjustRightInd w:val="0"/>
        <w:spacing w:line="360" w:lineRule="auto"/>
        <w:ind w:firstLine="480" w:firstLineChars="200"/>
        <w:rPr>
          <w:rFonts w:ascii="宋体" w:hAnsi="宋体"/>
          <w:color w:val="000000"/>
          <w:kern w:val="2"/>
          <w:sz w:val="24"/>
          <w:szCs w:val="24"/>
        </w:rPr>
      </w:pPr>
      <w:r>
        <w:rPr>
          <w:rFonts w:hint="eastAsia" w:ascii="宋体" w:hAnsi="宋体"/>
          <w:color w:val="000000"/>
          <w:kern w:val="2"/>
          <w:sz w:val="24"/>
          <w:szCs w:val="24"/>
        </w:rPr>
        <w:t>一、结算方式</w:t>
      </w:r>
    </w:p>
    <w:p>
      <w:pPr>
        <w:widowControl w:val="0"/>
        <w:autoSpaceDE w:val="0"/>
        <w:autoSpaceDN w:val="0"/>
        <w:adjustRightInd w:val="0"/>
        <w:spacing w:line="360" w:lineRule="auto"/>
        <w:ind w:firstLine="480" w:firstLineChars="200"/>
        <w:rPr>
          <w:rFonts w:ascii="宋体" w:hAnsi="宋体"/>
          <w:color w:val="000000"/>
          <w:kern w:val="2"/>
          <w:sz w:val="24"/>
          <w:szCs w:val="24"/>
        </w:rPr>
      </w:pPr>
      <w:r>
        <w:rPr>
          <w:rFonts w:hint="eastAsia" w:ascii="宋体" w:hAnsi="宋体"/>
          <w:color w:val="000000"/>
          <w:kern w:val="2"/>
          <w:sz w:val="24"/>
          <w:szCs w:val="24"/>
        </w:rPr>
        <w:t>1、批次结算</w:t>
      </w:r>
    </w:p>
    <w:p>
      <w:pPr>
        <w:widowControl w:val="0"/>
        <w:autoSpaceDE w:val="0"/>
        <w:autoSpaceDN w:val="0"/>
        <w:adjustRightInd w:val="0"/>
        <w:spacing w:line="360" w:lineRule="auto"/>
        <w:ind w:firstLine="480" w:firstLineChars="200"/>
        <w:rPr>
          <w:rFonts w:ascii="宋体" w:hAnsi="宋体"/>
          <w:color w:val="000000"/>
          <w:kern w:val="2"/>
          <w:sz w:val="24"/>
          <w:szCs w:val="24"/>
        </w:rPr>
      </w:pPr>
      <w:r>
        <w:rPr>
          <w:rFonts w:hint="eastAsia" w:ascii="宋体" w:hAnsi="宋体"/>
          <w:color w:val="000000"/>
          <w:kern w:val="2"/>
          <w:sz w:val="24"/>
          <w:szCs w:val="24"/>
        </w:rPr>
        <w:t>乙方提供的每批次产品在货款批次结算时，乙方提供批次结算单及送货单（乙方送货单由甲方项目部组织材料员、质检员、项目经理共同签名和加盖项目部章后寄往甲方采购部），由甲方成本部按照甲方确认的图纸对验收数量进行审核，审核后的数量作为本批次付款依据。结算单上必须注明产品名称、规格、数量、重量、单价、金额、下料单号、工艺图号以便双方进行核对。同时乙方若未按照合同约定提供产品质量合格证、检测报告等质量合格证明文件以及按照合同约定提供发票，甲方有权顺延办理批次结算付款手续，直至乙方提供上述资料。本条款约定的上述资料（包括送货单、结算单、质量合格证、检测报告、发票等）是甲方付款的前置条款，乙方若无法提供或提供不齐全，甲方有权拒不付款且不视为违约。</w:t>
      </w:r>
    </w:p>
    <w:p>
      <w:pPr>
        <w:widowControl w:val="0"/>
        <w:autoSpaceDE w:val="0"/>
        <w:autoSpaceDN w:val="0"/>
        <w:adjustRightInd w:val="0"/>
        <w:spacing w:line="360" w:lineRule="auto"/>
        <w:ind w:firstLine="480" w:firstLineChars="200"/>
        <w:rPr>
          <w:rFonts w:ascii="宋体" w:hAnsi="宋体"/>
          <w:color w:val="000000"/>
          <w:kern w:val="2"/>
          <w:sz w:val="24"/>
          <w:szCs w:val="24"/>
        </w:rPr>
      </w:pPr>
      <w:r>
        <w:rPr>
          <w:rFonts w:hint="eastAsia" w:ascii="宋体" w:hAnsi="宋体"/>
          <w:color w:val="000000"/>
          <w:kern w:val="2"/>
          <w:sz w:val="24"/>
          <w:szCs w:val="24"/>
        </w:rPr>
        <w:t>2、最终结算</w:t>
      </w:r>
    </w:p>
    <w:p>
      <w:pPr>
        <w:widowControl w:val="0"/>
        <w:autoSpaceDE w:val="0"/>
        <w:autoSpaceDN w:val="0"/>
        <w:adjustRightInd w:val="0"/>
        <w:spacing w:line="360" w:lineRule="auto"/>
        <w:ind w:firstLine="480" w:firstLineChars="200"/>
        <w:rPr>
          <w:rFonts w:ascii="宋体" w:hAnsi="宋体"/>
          <w:color w:val="000000"/>
          <w:kern w:val="2"/>
          <w:sz w:val="24"/>
          <w:szCs w:val="24"/>
        </w:rPr>
      </w:pPr>
      <w:r>
        <w:rPr>
          <w:rFonts w:hint="eastAsia" w:ascii="宋体" w:hAnsi="宋体"/>
          <w:color w:val="000000"/>
          <w:kern w:val="2"/>
          <w:sz w:val="24"/>
          <w:szCs w:val="24"/>
        </w:rPr>
        <w:t>2.1甲乙双方确认，本合同的最终结算金额不是乙方所提供批次结算单的累加。乙方需提交符合甲方要求的书面最终结算单、所有批次结算单、甲方书面签收的送货单、质量合格证、检测报告、发票等全部资料供甲方成本部进行书面审核，甲方有权在扣除按照合同约定乙方应支付的质量和工期违约金及罚款后，双方书面盖章确定最终结算金额。</w:t>
      </w:r>
    </w:p>
    <w:p>
      <w:pPr>
        <w:widowControl w:val="0"/>
        <w:autoSpaceDE w:val="0"/>
        <w:autoSpaceDN w:val="0"/>
        <w:adjustRightInd w:val="0"/>
        <w:spacing w:line="360" w:lineRule="auto"/>
        <w:ind w:firstLine="480" w:firstLineChars="200"/>
        <w:rPr>
          <w:rFonts w:ascii="宋体" w:hAnsi="宋体"/>
          <w:color w:val="000000"/>
          <w:kern w:val="2"/>
          <w:sz w:val="24"/>
          <w:szCs w:val="24"/>
        </w:rPr>
      </w:pPr>
      <w:r>
        <w:rPr>
          <w:rFonts w:hint="eastAsia" w:ascii="宋体" w:hAnsi="宋体"/>
          <w:color w:val="000000"/>
          <w:kern w:val="2"/>
          <w:sz w:val="24"/>
          <w:szCs w:val="24"/>
        </w:rPr>
        <w:t>2.2乙方同意载有甲方项目经理、材料、质检、仓管等人员签字或盖有项目部印章的签证单、送货单等资料是甲方对乙方供货的初步验收，乙方不得仅凭前述材料向甲方主张支付货款；最终合同结算金额仅由甲方成本部根据本合同结算条款进行书面审核并加盖甲方公章方可确定。</w:t>
      </w:r>
    </w:p>
    <w:p>
      <w:pPr>
        <w:widowControl w:val="0"/>
        <w:autoSpaceDE w:val="0"/>
        <w:autoSpaceDN w:val="0"/>
        <w:adjustRightInd w:val="0"/>
        <w:spacing w:line="360" w:lineRule="auto"/>
        <w:ind w:firstLine="480" w:firstLineChars="200"/>
        <w:rPr>
          <w:rFonts w:ascii="宋体" w:hAnsi="宋体"/>
          <w:color w:val="000000"/>
          <w:kern w:val="2"/>
          <w:sz w:val="24"/>
        </w:rPr>
      </w:pPr>
      <w:r>
        <w:rPr>
          <w:rFonts w:hint="eastAsia" w:ascii="宋体" w:hAnsi="宋体"/>
          <w:color w:val="000000"/>
          <w:kern w:val="2"/>
          <w:sz w:val="24"/>
        </w:rPr>
        <w:t>二、付款方式</w:t>
      </w:r>
    </w:p>
    <w:p>
      <w:pPr>
        <w:widowControl w:val="0"/>
        <w:autoSpaceDE w:val="0"/>
        <w:autoSpaceDN w:val="0"/>
        <w:adjustRightInd w:val="0"/>
        <w:spacing w:line="360" w:lineRule="auto"/>
        <w:ind w:firstLine="480" w:firstLineChars="200"/>
        <w:rPr>
          <w:rFonts w:ascii="宋体"/>
          <w:color w:val="000000"/>
          <w:sz w:val="24"/>
          <w:lang w:val="zh-CN"/>
        </w:rPr>
      </w:pPr>
      <w:r>
        <w:rPr>
          <w:rFonts w:hint="eastAsia" w:ascii="宋体" w:hAnsi="宋体"/>
          <w:color w:val="000000"/>
          <w:kern w:val="2"/>
          <w:sz w:val="24"/>
        </w:rPr>
        <w:t>1、</w:t>
      </w:r>
      <w:r>
        <w:rPr>
          <w:rFonts w:ascii="宋体" w:hAnsi="宋体" w:eastAsia="宋体" w:cs="宋体"/>
          <w:sz w:val="24"/>
          <w:szCs w:val="24"/>
          <w:highlight w:val="none"/>
        </w:rPr>
        <w:t>无预付款，</w:t>
      </w:r>
      <w:r>
        <w:rPr>
          <w:rFonts w:hint="eastAsia" w:ascii="宋体" w:hAnsi="宋体" w:cs="宋体"/>
          <w:sz w:val="24"/>
          <w:szCs w:val="24"/>
          <w:u w:val="none"/>
        </w:rPr>
        <w:t>每月</w:t>
      </w:r>
      <w:r>
        <w:rPr>
          <w:rFonts w:ascii="宋体" w:hAnsi="宋体" w:cs="宋体"/>
          <w:sz w:val="24"/>
          <w:szCs w:val="24"/>
          <w:u w:val="none"/>
        </w:rPr>
        <w:t>23日核对上月22日至当月23日的发货数量及金额，甲乙双方在本月25日前完成对账事宜，乙方27日前开具对账等额的增值税专用发票（税率13%）给甲方，甲方于次月30/31日前支付上月账单金额的85%。在此期间乙方应保证正常发货。剩余部分货款在批量铝板供货完毕后三个月</w:t>
      </w:r>
      <w:r>
        <w:rPr>
          <w:rFonts w:hint="eastAsia" w:ascii="宋体" w:hAnsi="宋体" w:cs="宋体"/>
          <w:sz w:val="24"/>
          <w:szCs w:val="24"/>
          <w:u w:val="none"/>
        </w:rPr>
        <w:t>内</w:t>
      </w:r>
      <w:r>
        <w:rPr>
          <w:rFonts w:ascii="宋体" w:hAnsi="宋体" w:cs="宋体"/>
          <w:sz w:val="24"/>
          <w:szCs w:val="24"/>
          <w:u w:val="none"/>
        </w:rPr>
        <w:t>，付至总货款金额的9</w:t>
      </w:r>
      <w:r>
        <w:rPr>
          <w:rFonts w:hint="eastAsia" w:ascii="宋体" w:hAnsi="宋体" w:cs="宋体"/>
          <w:sz w:val="24"/>
          <w:szCs w:val="24"/>
          <w:u w:val="none"/>
        </w:rPr>
        <w:t>5</w:t>
      </w:r>
      <w:r>
        <w:rPr>
          <w:rFonts w:ascii="宋体" w:hAnsi="宋体" w:cs="宋体"/>
          <w:sz w:val="24"/>
          <w:szCs w:val="24"/>
          <w:u w:val="none"/>
        </w:rPr>
        <w:t>%。剩余</w:t>
      </w:r>
      <w:r>
        <w:rPr>
          <w:rFonts w:hint="eastAsia" w:ascii="宋体" w:hAnsi="宋体" w:cs="宋体"/>
          <w:sz w:val="24"/>
          <w:szCs w:val="24"/>
          <w:u w:val="none"/>
        </w:rPr>
        <w:t>5</w:t>
      </w:r>
      <w:r>
        <w:rPr>
          <w:rFonts w:ascii="宋体" w:hAnsi="宋体" w:cs="宋体"/>
          <w:sz w:val="24"/>
          <w:szCs w:val="24"/>
          <w:u w:val="none"/>
        </w:rPr>
        <w:t>%在项目完工后</w:t>
      </w:r>
      <w:r>
        <w:rPr>
          <w:rFonts w:hint="eastAsia" w:ascii="宋体" w:hAnsi="宋体" w:cs="宋体"/>
          <w:sz w:val="24"/>
          <w:szCs w:val="24"/>
          <w:u w:val="none"/>
        </w:rPr>
        <w:t>6个月</w:t>
      </w:r>
      <w:r>
        <w:rPr>
          <w:rFonts w:ascii="宋体" w:hAnsi="宋体" w:cs="宋体"/>
          <w:sz w:val="24"/>
          <w:szCs w:val="24"/>
          <w:u w:val="none"/>
        </w:rPr>
        <w:t>内付清。</w:t>
      </w:r>
      <w:r>
        <w:rPr>
          <w:rFonts w:ascii="宋体" w:hAnsi="宋体" w:eastAsia="宋体" w:cs="宋体"/>
          <w:sz w:val="24"/>
          <w:szCs w:val="24"/>
        </w:rPr>
        <w:t> </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ascii="宋体" w:hAnsi="宋体" w:eastAsia="宋体" w:cs="宋体"/>
          <w:sz w:val="24"/>
          <w:szCs w:val="24"/>
        </w:rPr>
        <w:t>2、付款方式为6个月的银行承兑汇票</w:t>
      </w:r>
      <w:r>
        <w:rPr>
          <w:rFonts w:ascii="宋体" w:hAnsi="宋体" w:cs="宋体"/>
          <w:sz w:val="24"/>
          <w:szCs w:val="24"/>
          <w:u w:val="none"/>
        </w:rPr>
        <w:t xml:space="preserve">。  </w:t>
      </w:r>
    </w:p>
    <w:p>
      <w:pPr>
        <w:widowControl w:val="0"/>
        <w:autoSpaceDE w:val="0"/>
        <w:autoSpaceDN w:val="0"/>
        <w:adjustRightInd w:val="0"/>
        <w:spacing w:line="360" w:lineRule="auto"/>
        <w:ind w:firstLine="480" w:firstLineChars="200"/>
        <w:rPr>
          <w:rFonts w:hint="eastAsia" w:ascii="宋体"/>
          <w:color w:val="000000"/>
          <w:sz w:val="24"/>
          <w:lang w:val="zh-CN"/>
        </w:rPr>
      </w:pPr>
      <w:r>
        <w:rPr>
          <w:rFonts w:hint="eastAsia" w:ascii="宋体"/>
          <w:color w:val="000000"/>
          <w:sz w:val="24"/>
        </w:rPr>
        <w:t>3</w:t>
      </w:r>
      <w:r>
        <w:rPr>
          <w:rFonts w:hint="eastAsia" w:ascii="宋体"/>
          <w:color w:val="000000"/>
          <w:sz w:val="24"/>
          <w:lang w:val="zh-CN"/>
        </w:rPr>
        <w:t xml:space="preserve">、乙方必须提供合法、有效的税务发票；若提供虚假发票而给甲方造成损失的，乙方将承担由此给甲方造成的全部损失，且甲方有权停止支付与其有关的全部款项，直至给甲方造成的损失全部得到弥补为止；若乙方提供虚假发票，一经发现，应立即无条件更换合法、有效发票；无论是否给甲方造成损失，甲方有权停止支付与虚假发票有关的工程全部款项，且乙方自动放弃追索。 </w:t>
      </w:r>
    </w:p>
    <w:p>
      <w:pPr>
        <w:widowControl w:val="0"/>
        <w:autoSpaceDE w:val="0"/>
        <w:autoSpaceDN w:val="0"/>
        <w:adjustRightInd w:val="0"/>
        <w:spacing w:line="360" w:lineRule="auto"/>
        <w:ind w:firstLine="480" w:firstLineChars="200"/>
        <w:rPr>
          <w:rFonts w:ascii="宋体"/>
          <w:color w:val="000000"/>
          <w:sz w:val="24"/>
          <w:lang w:val="zh-CN"/>
        </w:rPr>
      </w:pPr>
      <w:r>
        <w:rPr>
          <w:rFonts w:hint="eastAsia" w:ascii="宋体"/>
          <w:color w:val="000000"/>
          <w:sz w:val="24"/>
          <w:highlight w:val="yellow"/>
          <w:lang w:val="en-US" w:eastAsia="zh-CN"/>
        </w:rPr>
        <w:t>4.</w:t>
      </w:r>
      <w:r>
        <w:rPr>
          <w:rFonts w:hint="eastAsia" w:ascii="宋体"/>
          <w:color w:val="000000"/>
          <w:sz w:val="24"/>
          <w:highlight w:val="yellow"/>
          <w:lang w:val="zh-CN"/>
        </w:rPr>
        <w:t xml:space="preserve">若因加工质量问题、交货延误或乙方其他自身原因导致甲方未收到甲方客户款，甲方有权根据实际情况延缓支付或不付、少付乙方的货款。 </w:t>
      </w:r>
      <w:r>
        <w:rPr>
          <w:rFonts w:hint="eastAsia" w:ascii="宋体"/>
          <w:color w:val="000000"/>
          <w:sz w:val="24"/>
          <w:lang w:val="zh-CN"/>
        </w:rPr>
        <w:t xml:space="preserve">        </w:t>
      </w:r>
      <w:r>
        <w:rPr>
          <w:rFonts w:hint="eastAsia" w:ascii="宋体" w:hAnsi="宋体"/>
          <w:color w:val="000000"/>
          <w:kern w:val="2"/>
          <w:sz w:val="24"/>
        </w:rPr>
        <w:t xml:space="preserve">                                                                                                                                                                                                                                                                                                                                                                                                                                                                                           </w:t>
      </w:r>
    </w:p>
    <w:p>
      <w:pPr>
        <w:widowControl w:val="0"/>
        <w:numPr>
          <w:ilvl w:val="0"/>
          <w:numId w:val="0"/>
        </w:numPr>
        <w:spacing w:line="360" w:lineRule="auto"/>
        <w:ind w:leftChars="0" w:right="-286" w:rightChars="-136"/>
        <w:jc w:val="both"/>
        <w:rPr>
          <w:rFonts w:ascii="宋体" w:hAnsi="宋体"/>
          <w:b/>
          <w:color w:val="000000"/>
          <w:kern w:val="2"/>
          <w:sz w:val="24"/>
        </w:rPr>
      </w:pPr>
      <w:r>
        <w:rPr>
          <w:rFonts w:hint="eastAsia" w:ascii="宋体" w:hAnsi="宋体"/>
          <w:b/>
          <w:color w:val="000000"/>
          <w:kern w:val="2"/>
          <w:sz w:val="24"/>
          <w:lang w:eastAsia="zh-CN"/>
        </w:rPr>
        <w:t>第五条</w:t>
      </w:r>
      <w:r>
        <w:rPr>
          <w:rFonts w:hint="eastAsia" w:ascii="宋体" w:hAnsi="宋体"/>
          <w:b/>
          <w:color w:val="000000"/>
          <w:kern w:val="2"/>
          <w:sz w:val="24"/>
          <w:lang w:val="en-US" w:eastAsia="zh-CN"/>
        </w:rPr>
        <w:t xml:space="preserve">  </w:t>
      </w:r>
      <w:r>
        <w:rPr>
          <w:rFonts w:hint="eastAsia" w:ascii="宋体" w:hAnsi="宋体"/>
          <w:b/>
          <w:color w:val="000000"/>
          <w:kern w:val="2"/>
          <w:sz w:val="24"/>
        </w:rPr>
        <w:t>验收</w:t>
      </w:r>
    </w:p>
    <w:p>
      <w:pPr>
        <w:widowControl w:val="0"/>
        <w:autoSpaceDE w:val="0"/>
        <w:autoSpaceDN w:val="0"/>
        <w:adjustRightInd w:val="0"/>
        <w:spacing w:line="360" w:lineRule="auto"/>
        <w:ind w:firstLine="480" w:firstLineChars="200"/>
        <w:rPr>
          <w:rFonts w:ascii="宋体" w:hAnsi="宋体"/>
          <w:color w:val="000000"/>
          <w:kern w:val="2"/>
          <w:sz w:val="24"/>
        </w:rPr>
      </w:pPr>
      <w:r>
        <w:rPr>
          <w:rFonts w:hint="eastAsia" w:ascii="宋体" w:hAnsi="宋体"/>
          <w:color w:val="000000"/>
          <w:kern w:val="2"/>
          <w:sz w:val="24"/>
        </w:rPr>
        <w:t>1、验收时间：货到工地后甲方对乙方所交货物的数量、件数、外观、外观颜色进行初步验收。若甲方在收货后到质保期结束的这段期间内发现乙方提供的产品存在任何质量问题，有权要求乙方退换货或扣除相应的货款。</w:t>
      </w:r>
    </w:p>
    <w:p>
      <w:pPr>
        <w:widowControl w:val="0"/>
        <w:autoSpaceDE w:val="0"/>
        <w:autoSpaceDN w:val="0"/>
        <w:adjustRightInd w:val="0"/>
        <w:spacing w:line="360" w:lineRule="auto"/>
        <w:ind w:firstLine="480" w:firstLineChars="200"/>
        <w:rPr>
          <w:rFonts w:ascii="宋体" w:hAnsi="宋体"/>
          <w:color w:val="000000"/>
          <w:kern w:val="2"/>
          <w:sz w:val="24"/>
        </w:rPr>
      </w:pPr>
      <w:r>
        <w:rPr>
          <w:rFonts w:hint="eastAsia" w:ascii="宋体" w:hAnsi="宋体"/>
          <w:color w:val="000000"/>
          <w:kern w:val="2"/>
          <w:sz w:val="24"/>
        </w:rPr>
        <w:t>2、验收方式：由甲方品质部人员进行验收并按照封样、国家标准进行检验。</w:t>
      </w:r>
    </w:p>
    <w:p>
      <w:pPr>
        <w:widowControl w:val="0"/>
        <w:autoSpaceDE w:val="0"/>
        <w:autoSpaceDN w:val="0"/>
        <w:adjustRightInd w:val="0"/>
        <w:spacing w:line="360" w:lineRule="auto"/>
        <w:ind w:firstLine="480" w:firstLineChars="200"/>
        <w:rPr>
          <w:rFonts w:ascii="宋体" w:hAnsi="宋体"/>
          <w:color w:val="000000"/>
          <w:kern w:val="2"/>
          <w:sz w:val="24"/>
        </w:rPr>
      </w:pPr>
      <w:r>
        <w:rPr>
          <w:rFonts w:hint="eastAsia" w:ascii="宋体" w:hAnsi="宋体"/>
          <w:color w:val="000000"/>
          <w:kern w:val="2"/>
          <w:sz w:val="24"/>
        </w:rPr>
        <w:t>3、验收如发生争议，由国家检验机构按国家检验标准和方法，对产品进行检验。</w:t>
      </w:r>
    </w:p>
    <w:p>
      <w:pPr>
        <w:widowControl w:val="0"/>
        <w:autoSpaceDE w:val="0"/>
        <w:autoSpaceDN w:val="0"/>
        <w:adjustRightInd w:val="0"/>
        <w:spacing w:line="360" w:lineRule="auto"/>
        <w:ind w:firstLine="480" w:firstLineChars="200"/>
        <w:rPr>
          <w:rFonts w:ascii="宋体" w:hAnsi="宋体"/>
          <w:color w:val="000000"/>
          <w:kern w:val="2"/>
          <w:sz w:val="24"/>
        </w:rPr>
      </w:pPr>
      <w:r>
        <w:rPr>
          <w:rFonts w:hint="eastAsia" w:ascii="宋体" w:hAnsi="宋体"/>
          <w:color w:val="000000"/>
          <w:kern w:val="2"/>
          <w:sz w:val="24"/>
        </w:rPr>
        <w:t>4、货到验收期间，乙方必须提供该批产品的生产厂家产品质量合格证明资料（交付最后一批货物时还应提供本合同项下全部产品十</w:t>
      </w:r>
      <w:r>
        <w:rPr>
          <w:rFonts w:hint="eastAsia" w:ascii="宋体" w:hAnsi="宋体"/>
          <w:color w:val="000000"/>
          <w:kern w:val="2"/>
          <w:sz w:val="24"/>
          <w:lang w:eastAsia="zh-CN"/>
        </w:rPr>
        <w:t>五</w:t>
      </w:r>
      <w:r>
        <w:rPr>
          <w:rFonts w:hint="eastAsia" w:ascii="宋体" w:hAnsi="宋体"/>
          <w:color w:val="000000"/>
          <w:kern w:val="2"/>
          <w:sz w:val="24"/>
        </w:rPr>
        <w:t>年质量保证书）、原材料材质证明书等，作为甲方检验、付款条件之一。</w:t>
      </w:r>
    </w:p>
    <w:p>
      <w:pPr>
        <w:widowControl w:val="0"/>
        <w:autoSpaceDE w:val="0"/>
        <w:autoSpaceDN w:val="0"/>
        <w:adjustRightInd w:val="0"/>
        <w:spacing w:line="360" w:lineRule="auto"/>
        <w:ind w:firstLine="480" w:firstLineChars="200"/>
        <w:rPr>
          <w:rFonts w:ascii="宋体" w:hAnsi="宋体"/>
          <w:color w:val="000000"/>
          <w:kern w:val="2"/>
          <w:sz w:val="24"/>
        </w:rPr>
      </w:pPr>
      <w:r>
        <w:rPr>
          <w:rFonts w:hint="eastAsia" w:ascii="宋体" w:hAnsi="宋体"/>
          <w:color w:val="000000"/>
          <w:kern w:val="2"/>
          <w:sz w:val="24"/>
        </w:rPr>
        <w:t>5、甲方对乙方产品所进行的验收，并不能免除乙方对所提供产品应承担的质量缺陷责任。</w:t>
      </w:r>
    </w:p>
    <w:p>
      <w:pPr>
        <w:widowControl w:val="0"/>
        <w:autoSpaceDE w:val="0"/>
        <w:autoSpaceDN w:val="0"/>
        <w:adjustRightInd w:val="0"/>
        <w:spacing w:line="360" w:lineRule="auto"/>
        <w:ind w:firstLine="480" w:firstLineChars="200"/>
        <w:rPr>
          <w:rFonts w:ascii="宋体" w:hAnsi="宋体"/>
          <w:color w:val="000000"/>
          <w:kern w:val="2"/>
          <w:sz w:val="24"/>
        </w:rPr>
      </w:pPr>
      <w:r>
        <w:rPr>
          <w:rFonts w:hint="eastAsia" w:ascii="宋体" w:hAnsi="宋体"/>
          <w:color w:val="000000"/>
          <w:kern w:val="2"/>
          <w:sz w:val="24"/>
        </w:rPr>
        <w:t>6、乙方提供的送货单中每项材料必须注明产品名称、材料编号、规格、数量、下料单号、工艺图号、面积等。</w:t>
      </w:r>
    </w:p>
    <w:p>
      <w:pPr>
        <w:widowControl w:val="0"/>
        <w:autoSpaceDE w:val="0"/>
        <w:autoSpaceDN w:val="0"/>
        <w:adjustRightInd w:val="0"/>
        <w:spacing w:line="360" w:lineRule="auto"/>
        <w:ind w:firstLine="480" w:firstLineChars="200"/>
        <w:rPr>
          <w:rFonts w:ascii="宋体" w:hAnsi="宋体"/>
          <w:color w:val="000000"/>
          <w:kern w:val="2"/>
          <w:sz w:val="24"/>
        </w:rPr>
      </w:pPr>
      <w:r>
        <w:rPr>
          <w:rFonts w:hint="eastAsia" w:ascii="宋体" w:hAnsi="宋体"/>
          <w:color w:val="000000"/>
          <w:kern w:val="2"/>
          <w:sz w:val="24"/>
        </w:rPr>
        <w:t>7、乙方确认，甲方同该项目业主或总包</w:t>
      </w:r>
      <w:r>
        <w:rPr>
          <w:rFonts w:hint="eastAsia" w:ascii="宋体" w:hAnsi="宋体"/>
          <w:color w:val="000000"/>
          <w:kern w:val="2"/>
          <w:sz w:val="24"/>
          <w:lang w:eastAsia="zh-CN"/>
        </w:rPr>
        <w:t>或分包</w:t>
      </w:r>
      <w:r>
        <w:rPr>
          <w:rFonts w:hint="eastAsia" w:ascii="宋体" w:hAnsi="宋体"/>
          <w:color w:val="000000"/>
          <w:kern w:val="2"/>
          <w:sz w:val="24"/>
        </w:rPr>
        <w:t>的最终验收证明不视为乙方产品质量必然合格的证明，也不视为甲方当然免除乙方已存在质量问题产品的责任，且该等质量问题无论是验收前还是验收后出现的，甲方均有权依据合同继续向乙方主张相关权益，乙方应继续按照合同约定履行整改、维修、更换、赔偿等责任。</w:t>
      </w:r>
    </w:p>
    <w:p>
      <w:pPr>
        <w:widowControl w:val="0"/>
        <w:numPr>
          <w:ilvl w:val="0"/>
          <w:numId w:val="0"/>
        </w:numPr>
        <w:spacing w:line="360" w:lineRule="auto"/>
        <w:ind w:leftChars="0" w:right="-286" w:rightChars="-136"/>
        <w:jc w:val="both"/>
        <w:rPr>
          <w:rFonts w:ascii="宋体" w:hAnsi="宋体"/>
          <w:b/>
          <w:color w:val="000000"/>
          <w:kern w:val="2"/>
          <w:sz w:val="24"/>
        </w:rPr>
      </w:pPr>
      <w:r>
        <w:rPr>
          <w:rFonts w:hint="eastAsia" w:ascii="宋体" w:hAnsi="宋体"/>
          <w:b/>
          <w:color w:val="000000"/>
          <w:kern w:val="2"/>
          <w:sz w:val="24"/>
          <w:lang w:eastAsia="zh-CN"/>
        </w:rPr>
        <w:t>第六条</w:t>
      </w:r>
      <w:r>
        <w:rPr>
          <w:rFonts w:hint="eastAsia" w:ascii="宋体" w:hAnsi="宋体"/>
          <w:b/>
          <w:color w:val="000000"/>
          <w:kern w:val="2"/>
          <w:sz w:val="24"/>
          <w:lang w:val="en-US" w:eastAsia="zh-CN"/>
        </w:rPr>
        <w:t xml:space="preserve"> </w:t>
      </w:r>
      <w:r>
        <w:rPr>
          <w:rFonts w:hint="eastAsia" w:ascii="宋体" w:hAnsi="宋体"/>
          <w:b/>
          <w:color w:val="000000"/>
          <w:kern w:val="2"/>
          <w:sz w:val="24"/>
        </w:rPr>
        <w:t>包装</w:t>
      </w:r>
    </w:p>
    <w:p>
      <w:pPr>
        <w:widowControl w:val="0"/>
        <w:autoSpaceDE w:val="0"/>
        <w:autoSpaceDN w:val="0"/>
        <w:adjustRightInd w:val="0"/>
        <w:spacing w:line="360" w:lineRule="auto"/>
        <w:ind w:firstLine="480" w:firstLineChars="200"/>
        <w:rPr>
          <w:rFonts w:ascii="宋体" w:hAnsi="宋体"/>
          <w:color w:val="000000"/>
          <w:kern w:val="2"/>
          <w:sz w:val="24"/>
        </w:rPr>
      </w:pPr>
      <w:r>
        <w:rPr>
          <w:rFonts w:hint="eastAsia" w:ascii="宋体" w:hAnsi="宋体"/>
          <w:color w:val="000000"/>
          <w:kern w:val="2"/>
          <w:sz w:val="24"/>
        </w:rPr>
        <w:t>乙方负责将制成品包装（铝板喷涂面贴保护膜）并运到甲方</w:t>
      </w:r>
      <w:r>
        <w:rPr>
          <w:rFonts w:hint="eastAsia" w:ascii="宋体" w:hAnsi="宋体"/>
          <w:color w:val="000000"/>
          <w:kern w:val="2"/>
          <w:sz w:val="24"/>
          <w:lang w:eastAsia="zh-CN"/>
        </w:rPr>
        <w:t>指定</w:t>
      </w:r>
      <w:r>
        <w:rPr>
          <w:rFonts w:hint="eastAsia" w:ascii="宋体" w:hAnsi="宋体"/>
          <w:color w:val="000000"/>
          <w:kern w:val="2"/>
          <w:sz w:val="24"/>
          <w:u w:val="single"/>
        </w:rPr>
        <w:t>工厂</w:t>
      </w:r>
      <w:r>
        <w:rPr>
          <w:rFonts w:hint="eastAsia" w:ascii="宋体" w:hAnsi="宋体"/>
          <w:color w:val="000000"/>
          <w:kern w:val="2"/>
          <w:sz w:val="24"/>
          <w:u w:val="single"/>
          <w:lang w:val="en-US" w:eastAsia="zh-CN"/>
        </w:rPr>
        <w:t>/工地</w:t>
      </w:r>
      <w:r>
        <w:rPr>
          <w:rFonts w:hint="eastAsia" w:ascii="宋体" w:hAnsi="宋体"/>
          <w:color w:val="000000"/>
          <w:kern w:val="2"/>
          <w:sz w:val="24"/>
        </w:rPr>
        <w:t>。因包装不良所造成的损坏、灭失由乙方承担。</w:t>
      </w:r>
    </w:p>
    <w:p>
      <w:pPr>
        <w:widowControl w:val="0"/>
        <w:numPr>
          <w:ilvl w:val="0"/>
          <w:numId w:val="0"/>
        </w:numPr>
        <w:spacing w:line="360" w:lineRule="auto"/>
        <w:ind w:leftChars="0" w:right="-286" w:rightChars="-136"/>
        <w:jc w:val="both"/>
        <w:rPr>
          <w:rFonts w:ascii="宋体" w:hAnsi="宋体"/>
          <w:b/>
          <w:color w:val="000000"/>
          <w:kern w:val="2"/>
          <w:sz w:val="24"/>
        </w:rPr>
      </w:pPr>
      <w:r>
        <w:rPr>
          <w:rFonts w:hint="eastAsia" w:ascii="宋体" w:hAnsi="宋体"/>
          <w:b/>
          <w:color w:val="000000"/>
          <w:kern w:val="2"/>
          <w:sz w:val="24"/>
          <w:lang w:eastAsia="zh-CN"/>
        </w:rPr>
        <w:t>第七条</w:t>
      </w:r>
      <w:r>
        <w:rPr>
          <w:rFonts w:hint="eastAsia" w:ascii="宋体" w:hAnsi="宋体"/>
          <w:b/>
          <w:color w:val="000000"/>
          <w:kern w:val="2"/>
          <w:sz w:val="24"/>
          <w:lang w:val="en-US" w:eastAsia="zh-CN"/>
        </w:rPr>
        <w:t xml:space="preserve"> </w:t>
      </w:r>
      <w:r>
        <w:rPr>
          <w:rFonts w:hint="eastAsia" w:ascii="宋体" w:hAnsi="宋体"/>
          <w:b/>
          <w:color w:val="000000"/>
          <w:kern w:val="2"/>
          <w:sz w:val="24"/>
        </w:rPr>
        <w:t>双方责任</w:t>
      </w:r>
    </w:p>
    <w:p>
      <w:pPr>
        <w:widowControl w:val="0"/>
        <w:spacing w:line="360" w:lineRule="auto"/>
        <w:ind w:right="-286" w:rightChars="-136" w:firstLine="480" w:firstLineChars="200"/>
        <w:jc w:val="both"/>
        <w:rPr>
          <w:rFonts w:ascii="宋体" w:hAnsi="宋体"/>
          <w:color w:val="000000"/>
          <w:kern w:val="2"/>
          <w:sz w:val="24"/>
        </w:rPr>
      </w:pPr>
      <w:r>
        <w:rPr>
          <w:rFonts w:hint="eastAsia" w:ascii="宋体" w:hAnsi="宋体"/>
          <w:color w:val="000000"/>
          <w:kern w:val="2"/>
          <w:sz w:val="24"/>
        </w:rPr>
        <w:t>1、因甲方提供的订单（含下料单、工艺图）错误而造成的损失应由甲方负责。</w:t>
      </w:r>
    </w:p>
    <w:p>
      <w:pPr>
        <w:widowControl w:val="0"/>
        <w:spacing w:line="360" w:lineRule="auto"/>
        <w:ind w:right="-286" w:rightChars="-136" w:firstLine="480" w:firstLineChars="200"/>
        <w:jc w:val="both"/>
        <w:rPr>
          <w:rFonts w:ascii="宋体" w:hAnsi="宋体"/>
          <w:color w:val="000000"/>
          <w:kern w:val="2"/>
          <w:sz w:val="24"/>
        </w:rPr>
      </w:pPr>
      <w:r>
        <w:rPr>
          <w:rFonts w:hint="eastAsia" w:ascii="宋体" w:hAnsi="宋体"/>
          <w:color w:val="000000"/>
          <w:kern w:val="2"/>
          <w:sz w:val="24"/>
        </w:rPr>
        <w:t>2、因甲方未及时提供下料单及工艺图造成的工期延误应由甲方负责，乙方的交货期可顺延。如甲方未能及时支付货款，每延误一天，按该批货款的</w:t>
      </w:r>
      <w:r>
        <w:rPr>
          <w:rFonts w:ascii="宋体" w:hAnsi="宋体" w:eastAsia="宋体" w:cs="宋体"/>
          <w:sz w:val="24"/>
          <w:szCs w:val="24"/>
        </w:rPr>
        <w:t>0.5‰</w:t>
      </w:r>
      <w:r>
        <w:rPr>
          <w:rFonts w:hint="eastAsia" w:ascii="宋体" w:hAnsi="宋体"/>
          <w:color w:val="000000"/>
          <w:kern w:val="2"/>
          <w:sz w:val="24"/>
        </w:rPr>
        <w:t>的比例向乙方支付违约金(违约金总额不超过合同总额的10%)，如逾期超过十五日，乙方有权终止合同并可就所造成的损失向甲方索赔。</w:t>
      </w:r>
    </w:p>
    <w:p>
      <w:pPr>
        <w:widowControl w:val="0"/>
        <w:spacing w:line="360" w:lineRule="auto"/>
        <w:ind w:right="-286" w:rightChars="-136" w:firstLine="480" w:firstLineChars="200"/>
        <w:jc w:val="both"/>
        <w:rPr>
          <w:rFonts w:ascii="宋体" w:hAnsi="宋体"/>
          <w:color w:val="000000"/>
          <w:kern w:val="2"/>
          <w:sz w:val="24"/>
        </w:rPr>
      </w:pPr>
      <w:r>
        <w:rPr>
          <w:rFonts w:hint="eastAsia" w:ascii="宋体" w:hAnsi="宋体"/>
          <w:color w:val="000000"/>
          <w:kern w:val="2"/>
          <w:sz w:val="24"/>
        </w:rPr>
        <w:t>3、乙方所交货物品种、型号、规格、颜色、质量等与合同不符的，如甲方同意利用，应按质论价；甲方不同意利用的，可选择以下任一种处理方案：</w:t>
      </w:r>
    </w:p>
    <w:p>
      <w:pPr>
        <w:widowControl w:val="0"/>
        <w:spacing w:line="360" w:lineRule="auto"/>
        <w:ind w:right="-286" w:rightChars="-136" w:firstLine="480" w:firstLineChars="200"/>
        <w:jc w:val="both"/>
        <w:rPr>
          <w:rFonts w:ascii="宋体" w:hAnsi="宋体"/>
          <w:color w:val="000000"/>
          <w:kern w:val="2"/>
          <w:sz w:val="24"/>
        </w:rPr>
      </w:pPr>
      <w:r>
        <w:rPr>
          <w:rFonts w:hint="eastAsia" w:ascii="宋体" w:hAnsi="宋体"/>
          <w:color w:val="000000"/>
          <w:kern w:val="2"/>
          <w:sz w:val="24"/>
        </w:rPr>
        <w:t>A、由乙方在一周内负责包换，并承担修理、调换或退货而支付的实际费用及因此所造成甲方的相关损失；数量不足的乙方应在收到甲方补货通知后十天内将补充货物送达甲方指定地点；</w:t>
      </w:r>
    </w:p>
    <w:p>
      <w:pPr>
        <w:widowControl w:val="0"/>
        <w:spacing w:line="360" w:lineRule="auto"/>
        <w:ind w:right="-286" w:rightChars="-136" w:firstLine="480" w:firstLineChars="200"/>
        <w:jc w:val="both"/>
        <w:rPr>
          <w:rFonts w:ascii="宋体" w:hAnsi="宋体"/>
          <w:color w:val="000000"/>
          <w:kern w:val="2"/>
          <w:sz w:val="24"/>
        </w:rPr>
      </w:pPr>
      <w:r>
        <w:rPr>
          <w:rFonts w:hint="eastAsia" w:ascii="宋体" w:hAnsi="宋体"/>
          <w:color w:val="000000"/>
          <w:kern w:val="2"/>
          <w:sz w:val="24"/>
        </w:rPr>
        <w:t>B、若因乙方质量问题导致业主方要求更换品牌的、对甲方已经或有证据表明即将造成重大损失的（本合同金额的20%及以上），甲方可解除与乙方的合同，并要求乙方承担由此造成的甲方全部损失。</w:t>
      </w:r>
    </w:p>
    <w:p>
      <w:pPr>
        <w:widowControl w:val="0"/>
        <w:spacing w:line="360" w:lineRule="auto"/>
        <w:ind w:right="-286" w:rightChars="-136" w:firstLine="480" w:firstLineChars="200"/>
        <w:jc w:val="both"/>
        <w:rPr>
          <w:rFonts w:ascii="宋体" w:hAnsi="宋体"/>
          <w:color w:val="000000"/>
          <w:kern w:val="2"/>
          <w:sz w:val="24"/>
        </w:rPr>
      </w:pPr>
      <w:r>
        <w:rPr>
          <w:rFonts w:ascii="宋体" w:hAnsi="宋体"/>
          <w:color w:val="000000"/>
          <w:kern w:val="2"/>
          <w:sz w:val="24"/>
        </w:rPr>
        <w:t>4</w:t>
      </w:r>
      <w:r>
        <w:rPr>
          <w:rFonts w:hint="eastAsia" w:ascii="宋体" w:hAnsi="宋体"/>
          <w:color w:val="000000"/>
          <w:kern w:val="2"/>
          <w:sz w:val="24"/>
        </w:rPr>
        <w:t>、如因乙方不能按时或按甲方进场计划所要求的数量、批次、规格提供喷涂铝板，每延误一天，按该批货物金额的0.5%的比例向甲方支付违约金(违约金总额不超过合同总额的10%)，如逾期超过十五日，甲方有权终止合同并可就所造成的损失向乙方索赔。</w:t>
      </w:r>
    </w:p>
    <w:p>
      <w:pPr>
        <w:widowControl w:val="0"/>
        <w:spacing w:line="360" w:lineRule="auto"/>
        <w:ind w:right="-286" w:rightChars="-136" w:firstLine="480" w:firstLineChars="200"/>
        <w:jc w:val="both"/>
        <w:rPr>
          <w:rFonts w:ascii="宋体" w:hAnsi="宋体"/>
          <w:color w:val="000000"/>
          <w:kern w:val="2"/>
          <w:sz w:val="24"/>
        </w:rPr>
      </w:pPr>
      <w:r>
        <w:rPr>
          <w:rFonts w:hint="eastAsia" w:ascii="宋体" w:hAnsi="宋体"/>
          <w:color w:val="000000"/>
          <w:kern w:val="2"/>
          <w:sz w:val="24"/>
        </w:rPr>
        <w:t>5、在产品质量保证期内，因乙方产品自身质量问题造成的甲方直接和间接损失均由乙方承担。6、乙方负责该工程铝板的相关工艺的深化及加工制作。</w:t>
      </w:r>
    </w:p>
    <w:p>
      <w:pPr>
        <w:widowControl w:val="0"/>
        <w:spacing w:line="360" w:lineRule="auto"/>
        <w:ind w:right="-286" w:rightChars="-136" w:firstLine="480" w:firstLineChars="200"/>
        <w:jc w:val="both"/>
        <w:rPr>
          <w:color w:val="000000"/>
          <w:kern w:val="2"/>
          <w:sz w:val="24"/>
          <w:szCs w:val="24"/>
        </w:rPr>
      </w:pPr>
      <w:r>
        <w:rPr>
          <w:rFonts w:hint="eastAsia" w:ascii="宋体" w:hAnsi="宋体"/>
          <w:color w:val="000000"/>
          <w:kern w:val="2"/>
          <w:sz w:val="24"/>
          <w:szCs w:val="24"/>
        </w:rPr>
        <w:t>7、</w:t>
      </w:r>
      <w:r>
        <w:rPr>
          <w:rFonts w:hint="eastAsia"/>
          <w:color w:val="000000"/>
          <w:kern w:val="2"/>
          <w:sz w:val="24"/>
          <w:szCs w:val="24"/>
        </w:rPr>
        <w:t>本合同为独立合同，乙方不能因为双方已经或将来签订的其它合同产生的纠纷而中止履行、不履行或不积极履行合同义务，每发生一次乙方应向甲方支付合同价款的5%作为违约金，并继续积极切实履行合同。</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8、因乙方违约，造成产品质量问题或者交货不符合合同约定的以及逾期交货的等违约情形，在结算时甲方有权先扣除乙方的违约金和罚金再支付剩余货款，不足抵扣部分乙方必须另行赔偿甲方。</w:t>
      </w:r>
    </w:p>
    <w:p>
      <w:pPr>
        <w:widowControl w:val="0"/>
        <w:numPr>
          <w:ilvl w:val="0"/>
          <w:numId w:val="0"/>
        </w:numPr>
        <w:spacing w:line="360" w:lineRule="auto"/>
        <w:ind w:right="-286" w:rightChars="-136"/>
        <w:jc w:val="both"/>
        <w:rPr>
          <w:rFonts w:ascii="宋体" w:hAnsi="宋体"/>
          <w:b/>
          <w:color w:val="000000"/>
          <w:kern w:val="2"/>
          <w:sz w:val="24"/>
        </w:rPr>
      </w:pPr>
      <w:r>
        <w:rPr>
          <w:rFonts w:hint="eastAsia" w:ascii="宋体" w:hAnsi="宋体"/>
          <w:b/>
          <w:color w:val="000000"/>
          <w:kern w:val="2"/>
          <w:sz w:val="24"/>
          <w:lang w:eastAsia="zh-CN"/>
        </w:rPr>
        <w:t>第八条</w:t>
      </w:r>
      <w:r>
        <w:rPr>
          <w:rFonts w:hint="eastAsia" w:ascii="宋体" w:hAnsi="宋体"/>
          <w:b/>
          <w:color w:val="000000"/>
          <w:kern w:val="2"/>
          <w:sz w:val="24"/>
          <w:lang w:val="en-US" w:eastAsia="zh-CN"/>
        </w:rPr>
        <w:t xml:space="preserve"> </w:t>
      </w:r>
      <w:r>
        <w:rPr>
          <w:rFonts w:hint="eastAsia" w:ascii="宋体" w:hAnsi="宋体"/>
          <w:b/>
          <w:color w:val="000000"/>
          <w:kern w:val="2"/>
          <w:sz w:val="24"/>
        </w:rPr>
        <w:t>合同解除条款</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1、甲乙双方共同确认，乙方出现以下任意情形之一的，甲方随时有权单方解除本合同，并要求乙方承担合同金额或结算金额20%的违约金，违约金不足以弥补损失的，甲方有权继续向乙方索赔：</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1.1.乙方逾期交货（或施工安装）超过5日以上的，且经甲方催告后拒不整改或整改后仍无法满足交货（或施工安装）要求的；</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1.2.乙方交付的产品（或施工的工程）不符合合同的质量标准和要求，甲方要求整改后拒不整改或经整改后仍无法满足合同质量要求的或项目业主、总包、监理要求的；</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1.3.乙方未按照甲方订单要求或图纸要求进行生产加工的，经甲方要求整改后拒不整改的或整改后仍无法满足甲方订单或图纸生产要求的；</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1.4.乙方未经甲方同意擅自更换合同约定的品牌、技术参数、规格型号以次充好、以假充真等；</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1.5.因乙方质量问题导致业主方要求甲方更换品牌的，或甲方进行罚款或追究违约责任的，或造成甲方工期延误的；</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1.6.乙方不能继续履行合同的，包括但不限于资不抵债、停业整顿、破产清算等；</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1.7.乙方违反本合同保密与知识产权的约定或乙方存在侵犯甲方知识产权行为的；</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1.8. 乙方违反其他合同义务及附随义务的，经甲方要求整改后拒不整改的或整改后仍不满足合同约定的；</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1.9.乙方违法转包或未经甲方书面同意将其权利义务转让给第三方的；</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1.10向甲方工作人员或亲友提供任何形式的回扣、礼品、有价证券等贿赂；</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1.11.乙方在合同签订或履行期间中有欺诈行为的。</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2、甲乙双方共同确认，出现以下任意情形之一的，双方可以协商解除合同并据实办理结算手续，减少双方损失：</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2.1.因项目停建（超过6个月）或取消；</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2.2.甲方和业主的施工合同解除的；</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2.3.非因乙方原因业主更改品牌的；</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2.4.因政策或政府行为导致项目无法继续施工的；</w:t>
      </w:r>
    </w:p>
    <w:p>
      <w:pPr>
        <w:widowControl w:val="0"/>
        <w:spacing w:line="360" w:lineRule="auto"/>
        <w:ind w:right="-286" w:rightChars="-136" w:firstLine="480" w:firstLineChars="200"/>
        <w:jc w:val="both"/>
        <w:rPr>
          <w:rFonts w:ascii="宋体" w:hAnsi="宋体"/>
          <w:color w:val="000000"/>
          <w:kern w:val="2"/>
          <w:sz w:val="24"/>
          <w:szCs w:val="24"/>
        </w:rPr>
      </w:pPr>
      <w:r>
        <w:rPr>
          <w:rFonts w:hint="eastAsia" w:ascii="宋体" w:hAnsi="宋体"/>
          <w:color w:val="000000"/>
          <w:kern w:val="2"/>
          <w:sz w:val="24"/>
          <w:szCs w:val="24"/>
        </w:rPr>
        <w:t>2.5.因不可抗力发生，合同无法继续履行的。</w:t>
      </w:r>
    </w:p>
    <w:p>
      <w:pPr>
        <w:widowControl w:val="0"/>
        <w:numPr>
          <w:ilvl w:val="0"/>
          <w:numId w:val="0"/>
        </w:numPr>
        <w:spacing w:line="360" w:lineRule="auto"/>
        <w:ind w:right="-286" w:rightChars="-136"/>
        <w:jc w:val="both"/>
        <w:rPr>
          <w:rFonts w:ascii="宋体" w:hAnsi="宋体"/>
          <w:color w:val="000000"/>
          <w:kern w:val="2"/>
          <w:sz w:val="24"/>
        </w:rPr>
      </w:pPr>
      <w:r>
        <w:rPr>
          <w:rFonts w:hint="eastAsia" w:ascii="宋体" w:hAnsi="宋体"/>
          <w:b/>
          <w:color w:val="000000"/>
          <w:kern w:val="2"/>
          <w:sz w:val="24"/>
          <w:lang w:eastAsia="zh-CN"/>
        </w:rPr>
        <w:t>第九条</w:t>
      </w:r>
      <w:r>
        <w:rPr>
          <w:rFonts w:hint="eastAsia" w:ascii="宋体" w:hAnsi="宋体"/>
          <w:b/>
          <w:color w:val="000000"/>
          <w:kern w:val="2"/>
          <w:sz w:val="24"/>
          <w:lang w:val="en-US" w:eastAsia="zh-CN"/>
        </w:rPr>
        <w:t xml:space="preserve"> </w:t>
      </w:r>
      <w:r>
        <w:rPr>
          <w:rFonts w:hint="eastAsia" w:ascii="宋体" w:hAnsi="宋体"/>
          <w:b/>
          <w:color w:val="000000"/>
          <w:kern w:val="2"/>
          <w:sz w:val="24"/>
        </w:rPr>
        <w:t>合同纠纷的解决</w:t>
      </w:r>
    </w:p>
    <w:p>
      <w:pPr>
        <w:widowControl w:val="0"/>
        <w:spacing w:line="360" w:lineRule="auto"/>
        <w:ind w:left="59" w:leftChars="28" w:right="-286" w:rightChars="-136" w:firstLine="460" w:firstLineChars="192"/>
        <w:jc w:val="both"/>
        <w:rPr>
          <w:rFonts w:ascii="宋体" w:hAnsi="宋体"/>
          <w:color w:val="000000"/>
          <w:kern w:val="2"/>
          <w:sz w:val="24"/>
        </w:rPr>
      </w:pPr>
      <w:r>
        <w:rPr>
          <w:rFonts w:hint="eastAsia" w:ascii="宋体" w:hAnsi="宋体"/>
          <w:color w:val="000000"/>
          <w:kern w:val="2"/>
          <w:sz w:val="24"/>
        </w:rPr>
        <w:t>凡因本合同引起的或与本合同有关的任何争议，如协商不能解决，双方均可向合同签约地有管辖权的人民法院起诉。</w:t>
      </w:r>
    </w:p>
    <w:p>
      <w:pPr>
        <w:widowControl w:val="0"/>
        <w:numPr>
          <w:ilvl w:val="0"/>
          <w:numId w:val="0"/>
        </w:numPr>
        <w:spacing w:line="360" w:lineRule="auto"/>
        <w:ind w:right="-286" w:rightChars="-136"/>
        <w:jc w:val="both"/>
        <w:rPr>
          <w:rFonts w:ascii="宋体" w:hAnsi="宋体"/>
          <w:b/>
          <w:color w:val="000000"/>
          <w:kern w:val="2"/>
          <w:sz w:val="24"/>
        </w:rPr>
      </w:pPr>
      <w:r>
        <w:rPr>
          <w:rFonts w:hint="eastAsia" w:ascii="宋体" w:hAnsi="宋体"/>
          <w:b/>
          <w:color w:val="000000"/>
          <w:kern w:val="2"/>
          <w:sz w:val="24"/>
          <w:lang w:eastAsia="zh-CN"/>
        </w:rPr>
        <w:t>第十条</w:t>
      </w:r>
      <w:r>
        <w:rPr>
          <w:rFonts w:hint="eastAsia" w:ascii="宋体" w:hAnsi="宋体"/>
          <w:b/>
          <w:color w:val="000000"/>
          <w:kern w:val="2"/>
          <w:sz w:val="24"/>
          <w:lang w:val="en-US" w:eastAsia="zh-CN"/>
        </w:rPr>
        <w:t xml:space="preserve">  </w:t>
      </w:r>
      <w:r>
        <w:rPr>
          <w:rFonts w:hint="eastAsia" w:ascii="宋体" w:hAnsi="宋体"/>
          <w:b/>
          <w:color w:val="000000"/>
          <w:kern w:val="2"/>
          <w:sz w:val="24"/>
        </w:rPr>
        <w:t>签收授权</w:t>
      </w:r>
    </w:p>
    <w:p>
      <w:pPr>
        <w:widowControl w:val="0"/>
        <w:spacing w:line="360" w:lineRule="auto"/>
        <w:ind w:right="-286" w:rightChars="-136" w:firstLine="480" w:firstLineChars="200"/>
        <w:jc w:val="both"/>
        <w:rPr>
          <w:rFonts w:ascii="宋体" w:hAnsi="宋体"/>
          <w:color w:val="000000"/>
          <w:kern w:val="2"/>
          <w:sz w:val="24"/>
        </w:rPr>
      </w:pPr>
      <w:r>
        <w:rPr>
          <w:rFonts w:ascii="宋体" w:hAnsi="宋体"/>
          <w:color w:val="000000"/>
          <w:kern w:val="2"/>
          <w:sz w:val="24"/>
        </w:rPr>
        <w:t>1</w:t>
      </w:r>
      <w:r>
        <w:rPr>
          <w:rFonts w:hint="eastAsia" w:ascii="宋体" w:hAnsi="宋体"/>
          <w:color w:val="000000"/>
          <w:kern w:val="2"/>
          <w:sz w:val="24"/>
        </w:rPr>
        <w:t>、甲方合同签字委托代理</w:t>
      </w:r>
      <w:r>
        <w:rPr>
          <w:rFonts w:hint="eastAsia" w:ascii="宋体" w:hAnsi="宋体"/>
          <w:color w:val="000000"/>
          <w:kern w:val="2"/>
          <w:sz w:val="24"/>
          <w:u w:val="single"/>
        </w:rPr>
        <w:t xml:space="preserve">  </w:t>
      </w:r>
      <w:r>
        <w:rPr>
          <w:rFonts w:hint="eastAsia" w:ascii="宋体" w:hAnsi="宋体"/>
          <w:color w:val="000000"/>
          <w:kern w:val="2"/>
          <w:sz w:val="24"/>
          <w:u w:val="single"/>
          <w:lang w:eastAsia="zh-CN"/>
        </w:rPr>
        <w:t>何雪凌</w:t>
      </w:r>
      <w:r>
        <w:rPr>
          <w:rFonts w:hint="eastAsia" w:ascii="宋体" w:hAnsi="宋体"/>
          <w:color w:val="000000"/>
          <w:kern w:val="2"/>
          <w:sz w:val="24"/>
          <w:u w:val="single"/>
        </w:rPr>
        <w:t xml:space="preserve">  </w:t>
      </w:r>
      <w:r>
        <w:rPr>
          <w:rFonts w:hint="eastAsia" w:ascii="宋体" w:hAnsi="宋体"/>
          <w:color w:val="000000"/>
          <w:kern w:val="2"/>
          <w:sz w:val="24"/>
        </w:rPr>
        <w:t>，乙方合同签字委托代理</w:t>
      </w:r>
      <w:r>
        <w:rPr>
          <w:rFonts w:hint="eastAsia" w:ascii="宋体" w:hAnsi="宋体"/>
          <w:color w:val="000000"/>
          <w:kern w:val="2"/>
          <w:sz w:val="24"/>
          <w:u w:val="single"/>
        </w:rPr>
        <w:t xml:space="preserve">      </w:t>
      </w:r>
      <w:r>
        <w:rPr>
          <w:rFonts w:hint="eastAsia" w:ascii="宋体" w:hAnsi="宋体"/>
          <w:color w:val="000000"/>
          <w:kern w:val="2"/>
          <w:sz w:val="24"/>
        </w:rPr>
        <w:t>。</w:t>
      </w:r>
    </w:p>
    <w:p>
      <w:pPr>
        <w:widowControl w:val="0"/>
        <w:spacing w:line="360" w:lineRule="auto"/>
        <w:ind w:right="-286" w:rightChars="-136" w:firstLine="480" w:firstLineChars="200"/>
        <w:jc w:val="both"/>
        <w:rPr>
          <w:rFonts w:ascii="宋体" w:hAnsi="宋体"/>
          <w:color w:val="000000"/>
          <w:kern w:val="2"/>
          <w:sz w:val="24"/>
        </w:rPr>
      </w:pPr>
      <w:r>
        <w:rPr>
          <w:rFonts w:ascii="宋体" w:hAnsi="宋体"/>
          <w:color w:val="000000"/>
          <w:kern w:val="2"/>
          <w:sz w:val="24"/>
        </w:rPr>
        <w:t>2</w:t>
      </w:r>
      <w:r>
        <w:rPr>
          <w:rFonts w:hint="eastAsia" w:ascii="宋体" w:hAnsi="宋体"/>
          <w:color w:val="000000"/>
          <w:kern w:val="2"/>
          <w:sz w:val="24"/>
        </w:rPr>
        <w:t>、乙方生产以甲方</w:t>
      </w:r>
      <w:r>
        <w:rPr>
          <w:rFonts w:hint="eastAsia" w:ascii="宋体" w:hAnsi="宋体"/>
          <w:color w:val="000000"/>
          <w:kern w:val="2"/>
          <w:sz w:val="24"/>
          <w:lang w:eastAsia="zh-CN"/>
        </w:rPr>
        <w:t>邮件</w:t>
      </w:r>
      <w:r>
        <w:rPr>
          <w:rFonts w:hint="eastAsia" w:ascii="宋体" w:hAnsi="宋体"/>
          <w:color w:val="000000"/>
          <w:kern w:val="2"/>
          <w:sz w:val="24"/>
        </w:rPr>
        <w:t>的订单为准，甲方下单确认人以</w:t>
      </w:r>
      <w:r>
        <w:rPr>
          <w:rFonts w:hint="eastAsia" w:ascii="宋体" w:hAnsi="宋体"/>
          <w:color w:val="000000"/>
          <w:kern w:val="2"/>
          <w:sz w:val="24"/>
          <w:u w:val="single"/>
        </w:rPr>
        <w:t xml:space="preserve">  </w:t>
      </w:r>
      <w:r>
        <w:rPr>
          <w:rFonts w:hint="eastAsia" w:ascii="宋体" w:hAnsi="宋体"/>
          <w:color w:val="000000"/>
          <w:kern w:val="2"/>
          <w:sz w:val="24"/>
          <w:u w:val="single"/>
          <w:lang w:eastAsia="zh-CN"/>
        </w:rPr>
        <w:t>何雪凌</w:t>
      </w:r>
      <w:r>
        <w:rPr>
          <w:rFonts w:hint="eastAsia" w:ascii="宋体" w:hAnsi="宋体"/>
          <w:color w:val="000000"/>
          <w:kern w:val="2"/>
          <w:sz w:val="24"/>
          <w:u w:val="single"/>
        </w:rPr>
        <w:t xml:space="preserve">  </w:t>
      </w:r>
      <w:r>
        <w:rPr>
          <w:rFonts w:hint="eastAsia" w:ascii="宋体" w:hAnsi="宋体"/>
          <w:color w:val="000000"/>
          <w:kern w:val="2"/>
          <w:sz w:val="24"/>
        </w:rPr>
        <w:t>或盖甲方有效印章为准，甲方工地指定签收人以甲方订单中指定签收人签收为准。</w:t>
      </w:r>
    </w:p>
    <w:p>
      <w:pPr>
        <w:widowControl w:val="0"/>
        <w:spacing w:line="360" w:lineRule="auto"/>
        <w:ind w:right="-286" w:rightChars="-136" w:firstLine="480" w:firstLineChars="200"/>
        <w:jc w:val="both"/>
        <w:rPr>
          <w:rFonts w:ascii="宋体" w:hAnsi="宋体"/>
          <w:color w:val="000000"/>
          <w:kern w:val="2"/>
          <w:sz w:val="24"/>
        </w:rPr>
      </w:pPr>
      <w:r>
        <w:rPr>
          <w:rFonts w:hint="eastAsia" w:ascii="宋体" w:hAnsi="宋体"/>
          <w:color w:val="000000"/>
          <w:kern w:val="2"/>
          <w:sz w:val="24"/>
        </w:rPr>
        <w:t>3、除甲方指定签收人员以外其他任何人员签署的任何形式的收货凭据均不作为货物签收的依据，甲方指定的签收人仅对合同总量范围内的签收有效，其签署的收货凭据仅作为甲方收到货物的数量、型号、规格、到场时间等的证明，</w:t>
      </w:r>
      <w:r>
        <w:rPr>
          <w:rFonts w:hint="eastAsia" w:ascii="新宋体" w:hAnsi="新宋体" w:eastAsia="新宋体"/>
          <w:color w:val="000000"/>
          <w:kern w:val="2"/>
          <w:sz w:val="24"/>
        </w:rPr>
        <w:t>最终货款结算金额是由双方根据合同条款书面审核确定。</w:t>
      </w:r>
      <w:r>
        <w:rPr>
          <w:rFonts w:hint="eastAsia" w:ascii="宋体" w:hAnsi="宋体"/>
          <w:color w:val="000000"/>
          <w:kern w:val="2"/>
          <w:sz w:val="24"/>
        </w:rPr>
        <w:t xml:space="preserve">且甲方对乙方货物的签收，并不能免除乙方对其所提供产品应承担的质量缺陷责任。      </w:t>
      </w:r>
    </w:p>
    <w:p>
      <w:pPr>
        <w:widowControl w:val="0"/>
        <w:spacing w:line="360" w:lineRule="auto"/>
        <w:ind w:right="-286" w:rightChars="-136" w:firstLine="480" w:firstLineChars="200"/>
        <w:jc w:val="both"/>
        <w:rPr>
          <w:rFonts w:ascii="宋体" w:hAnsi="宋体"/>
          <w:color w:val="000000"/>
          <w:kern w:val="2"/>
          <w:sz w:val="24"/>
        </w:rPr>
      </w:pPr>
      <w:r>
        <w:rPr>
          <w:rFonts w:hint="eastAsia" w:ascii="宋体" w:hAnsi="宋体"/>
          <w:color w:val="000000"/>
          <w:kern w:val="2"/>
          <w:sz w:val="24"/>
        </w:rPr>
        <w:t>4、如甲乙双方签字人员有变动则以双方书面函件为准，合同内容如有变更或实际订购数量超过合同总额的5%时则甲乙双方需签订补充协议，否则视为乙方放弃货款结算权利，补充协议在双方授权人签字并加盖与本合同相同印章后生效，与本合同具有同等法律效力。</w:t>
      </w:r>
    </w:p>
    <w:p>
      <w:pPr>
        <w:widowControl w:val="0"/>
        <w:numPr>
          <w:ilvl w:val="0"/>
          <w:numId w:val="0"/>
        </w:numPr>
        <w:spacing w:line="360" w:lineRule="auto"/>
        <w:ind w:right="-286" w:rightChars="-136"/>
        <w:jc w:val="both"/>
        <w:rPr>
          <w:rFonts w:ascii="宋体" w:hAnsi="宋体"/>
          <w:color w:val="000000"/>
          <w:kern w:val="2"/>
          <w:sz w:val="24"/>
          <w:lang w:val="zh-CN"/>
        </w:rPr>
      </w:pPr>
      <w:r>
        <w:rPr>
          <w:rFonts w:hint="eastAsia" w:ascii="宋体" w:hAnsi="宋体"/>
          <w:b/>
          <w:color w:val="000000"/>
          <w:kern w:val="2"/>
          <w:sz w:val="24"/>
          <w:lang w:val="zh-CN"/>
        </w:rPr>
        <w:t>第十一条 环境和职业健康安全要求</w:t>
      </w:r>
    </w:p>
    <w:p>
      <w:pPr>
        <w:widowControl w:val="0"/>
        <w:spacing w:line="360" w:lineRule="auto"/>
        <w:ind w:right="-286" w:rightChars="-136" w:firstLine="480" w:firstLineChars="200"/>
        <w:jc w:val="both"/>
        <w:rPr>
          <w:rFonts w:ascii="宋体" w:hAnsi="宋体"/>
          <w:color w:val="000000"/>
          <w:kern w:val="2"/>
          <w:sz w:val="24"/>
        </w:rPr>
      </w:pPr>
      <w:r>
        <w:rPr>
          <w:rFonts w:hint="eastAsia" w:ascii="宋体" w:hAnsi="宋体"/>
          <w:color w:val="000000"/>
          <w:kern w:val="2"/>
          <w:sz w:val="24"/>
        </w:rPr>
        <w:t>乙方需遵守国家有关环境职业健康和安全的法律法规。在产品的生产、包装、运输和使用中，注意保护环境，尊重员工的健康和安全。致力于工厂内的污染预防和环境绩效的持续改进，为双方的可持续发展做出贡献。</w:t>
      </w:r>
    </w:p>
    <w:p>
      <w:pPr>
        <w:widowControl w:val="0"/>
        <w:numPr>
          <w:ilvl w:val="0"/>
          <w:numId w:val="0"/>
        </w:numPr>
        <w:spacing w:line="360" w:lineRule="auto"/>
        <w:ind w:right="-286" w:rightChars="-136"/>
        <w:jc w:val="both"/>
        <w:rPr>
          <w:rFonts w:ascii="宋体" w:hAnsi="宋体"/>
          <w:b/>
          <w:color w:val="000000"/>
          <w:kern w:val="2"/>
          <w:sz w:val="24"/>
        </w:rPr>
      </w:pPr>
      <w:r>
        <w:rPr>
          <w:rFonts w:hint="eastAsia" w:ascii="宋体" w:hAnsi="宋体"/>
          <w:b/>
          <w:color w:val="000000"/>
          <w:kern w:val="2"/>
          <w:sz w:val="24"/>
          <w:lang w:eastAsia="zh-CN"/>
        </w:rPr>
        <w:t>第十二条</w:t>
      </w:r>
      <w:r>
        <w:rPr>
          <w:rFonts w:hint="eastAsia" w:ascii="宋体" w:hAnsi="宋体"/>
          <w:b/>
          <w:color w:val="000000"/>
          <w:kern w:val="2"/>
          <w:sz w:val="24"/>
          <w:lang w:val="en-US" w:eastAsia="zh-CN"/>
        </w:rPr>
        <w:t xml:space="preserve"> </w:t>
      </w:r>
      <w:r>
        <w:rPr>
          <w:rFonts w:hint="eastAsia" w:ascii="宋体" w:hAnsi="宋体"/>
          <w:b/>
          <w:color w:val="000000"/>
          <w:kern w:val="2"/>
          <w:sz w:val="24"/>
        </w:rPr>
        <w:t>保密及知识产权</w:t>
      </w:r>
    </w:p>
    <w:p>
      <w:pPr>
        <w:widowControl w:val="0"/>
        <w:spacing w:line="360" w:lineRule="auto"/>
        <w:ind w:right="-286" w:rightChars="-136" w:firstLine="480" w:firstLineChars="200"/>
        <w:jc w:val="both"/>
        <w:rPr>
          <w:rFonts w:ascii="宋体" w:hAnsi="宋体"/>
          <w:color w:val="000000"/>
          <w:kern w:val="2"/>
          <w:sz w:val="24"/>
        </w:rPr>
      </w:pPr>
      <w:r>
        <w:rPr>
          <w:rFonts w:hint="eastAsia" w:ascii="宋体" w:hAnsi="宋体"/>
          <w:color w:val="000000"/>
          <w:kern w:val="2"/>
          <w:sz w:val="24"/>
        </w:rPr>
        <w:t>1、非经甲方事先书面同意，乙方不得将甲方在本合同签署及履行过程中披露的任何标准、规范、计划、图纸、模型、样品、资料或其他信息披露给任何第三人；乙方向与执行本合同的有关人员提供上述文件时，应保证有关人员遵守保密义务；由于乙方原因或人员引起泄密而造成甲方损失的，由乙方赔偿全部损失。本条款构成独立的保密协议。本条款的义务不因本合同的终止而终止。</w:t>
      </w:r>
    </w:p>
    <w:p>
      <w:pPr>
        <w:widowControl w:val="0"/>
        <w:spacing w:line="360" w:lineRule="auto"/>
        <w:ind w:right="-286" w:rightChars="-136" w:firstLine="480" w:firstLineChars="200"/>
        <w:jc w:val="both"/>
        <w:rPr>
          <w:rFonts w:ascii="宋体" w:hAnsi="宋体"/>
          <w:color w:val="000000"/>
          <w:kern w:val="2"/>
          <w:sz w:val="24"/>
        </w:rPr>
      </w:pPr>
      <w:r>
        <w:rPr>
          <w:rFonts w:hint="eastAsia" w:ascii="宋体" w:hAnsi="宋体"/>
          <w:color w:val="000000"/>
          <w:kern w:val="2"/>
          <w:sz w:val="24"/>
        </w:rPr>
        <w:t>2、乙方应保证，甲方在中华人民共和国使用本合同项下货物或货物的一部分时，免于遭受第三方就知识产权（包括但不限于专利权、商标权、著作权及非专利技术）提起的诉讼、仲裁或任何请求。</w:t>
      </w:r>
    </w:p>
    <w:p>
      <w:pPr>
        <w:widowControl w:val="0"/>
        <w:spacing w:line="360" w:lineRule="auto"/>
        <w:ind w:right="-286" w:rightChars="-136" w:firstLine="480" w:firstLineChars="200"/>
        <w:jc w:val="both"/>
        <w:rPr>
          <w:b/>
          <w:color w:val="000000"/>
          <w:kern w:val="2"/>
          <w:sz w:val="24"/>
        </w:rPr>
      </w:pPr>
      <w:r>
        <w:rPr>
          <w:rFonts w:hint="eastAsia" w:ascii="宋体" w:hAnsi="宋体"/>
          <w:color w:val="000000"/>
          <w:kern w:val="2"/>
          <w:sz w:val="24"/>
        </w:rPr>
        <w:t>如果发生因乙方出售的货物或货物的一部分侵犯了他人知识产权而针对甲方提起索赔或诉讼的情况，且甲方将此等情况及时通知了乙方并向乙方提供了合理的信息与协助，并且授权乙方独立进行辩护和解决索赔问题，乙方将自费进行辩护，并支付全部费用和由于该案最终判决或裁决/裁定而支付的违约金，以及赔偿甲方因此而受到的一切损失。</w:t>
      </w:r>
    </w:p>
    <w:p>
      <w:pPr>
        <w:widowControl w:val="0"/>
        <w:numPr>
          <w:ilvl w:val="0"/>
          <w:numId w:val="0"/>
        </w:numPr>
        <w:spacing w:line="360" w:lineRule="auto"/>
        <w:ind w:right="-286" w:rightChars="-136"/>
        <w:jc w:val="both"/>
        <w:rPr>
          <w:color w:val="000000"/>
          <w:kern w:val="2"/>
          <w:sz w:val="24"/>
        </w:rPr>
      </w:pPr>
      <w:r>
        <w:rPr>
          <w:rFonts w:hint="eastAsia"/>
          <w:b/>
          <w:color w:val="000000"/>
          <w:kern w:val="2"/>
          <w:sz w:val="24"/>
          <w:lang w:eastAsia="zh-CN"/>
        </w:rPr>
        <w:t>第十三条</w:t>
      </w:r>
      <w:r>
        <w:rPr>
          <w:rFonts w:hint="eastAsia"/>
          <w:b/>
          <w:color w:val="000000"/>
          <w:kern w:val="2"/>
          <w:sz w:val="24"/>
        </w:rPr>
        <w:t xml:space="preserve"> 通知与送达</w:t>
      </w:r>
    </w:p>
    <w:p>
      <w:pPr>
        <w:pStyle w:val="3"/>
        <w:ind w:left="0" w:firstLine="480" w:firstLineChars="200"/>
        <w:textAlignment w:val="baseline"/>
        <w:rPr>
          <w:rFonts w:ascii="宋体" w:hAnsi="宋体"/>
          <w:szCs w:val="24"/>
        </w:rPr>
      </w:pPr>
      <w:r>
        <w:rPr>
          <w:rFonts w:hint="eastAsia" w:ascii="宋体" w:hAnsi="宋体"/>
          <w:szCs w:val="24"/>
        </w:rPr>
        <w:t xml:space="preserve">1、甲乙双方同意并确认下列地址和联系方式作为本合同项下文件、通知以及相关法律文书（包括但不限于甲乙双方的各类文件、通知；法院或仲裁庭送达的起诉状（或仲裁申请书）及证据、传票、应诉通知书、举证通知书、开庭通知书、支付令、判决书（裁决书）、裁定书、调解书、执行通知书、限期履行通知书等诉讼或仲裁审理以及执行阶段法律文书）的有效送达地址和联系方式： </w:t>
      </w:r>
    </w:p>
    <w:p>
      <w:pPr>
        <w:pStyle w:val="3"/>
        <w:ind w:left="0" w:firstLine="480" w:firstLineChars="200"/>
        <w:textAlignment w:val="baseline"/>
        <w:rPr>
          <w:rFonts w:ascii="宋体" w:hAnsi="宋体"/>
          <w:szCs w:val="24"/>
        </w:rPr>
      </w:pPr>
      <w:r>
        <w:rPr>
          <w:rFonts w:hint="eastAsia" w:ascii="宋体" w:hAnsi="宋体"/>
          <w:szCs w:val="24"/>
        </w:rPr>
        <w:t xml:space="preserve">（1）甲方地址、联系方式 </w:t>
      </w:r>
    </w:p>
    <w:p>
      <w:pPr>
        <w:pStyle w:val="3"/>
        <w:ind w:left="0" w:firstLine="480" w:firstLineChars="200"/>
        <w:textAlignment w:val="baseline"/>
        <w:rPr>
          <w:rFonts w:hint="eastAsia" w:ascii="宋体" w:hAnsi="宋体"/>
          <w:szCs w:val="24"/>
        </w:rPr>
      </w:pPr>
      <w:r>
        <w:rPr>
          <w:rFonts w:hint="eastAsia" w:ascii="宋体" w:hAnsi="宋体"/>
          <w:szCs w:val="24"/>
        </w:rPr>
        <w:t>单位地址：</w:t>
      </w:r>
      <w:r>
        <w:rPr>
          <w:rFonts w:hint="eastAsia" w:ascii="宋体" w:hAnsi="宋体"/>
          <w:szCs w:val="24"/>
          <w:u w:val="single"/>
        </w:rPr>
        <w:t xml:space="preserve"> </w:t>
      </w:r>
      <w:r>
        <w:rPr>
          <w:rFonts w:hint="eastAsia" w:ascii="宋体" w:hAnsi="宋体"/>
          <w:szCs w:val="24"/>
          <w:u w:val="single"/>
          <w:lang w:eastAsia="zh-CN"/>
        </w:rPr>
        <w:t>江西省南昌市高新大道</w:t>
      </w:r>
      <w:r>
        <w:rPr>
          <w:rFonts w:hint="eastAsia" w:ascii="宋体" w:hAnsi="宋体"/>
          <w:szCs w:val="24"/>
          <w:u w:val="single"/>
          <w:lang w:val="en-US" w:eastAsia="zh-CN"/>
        </w:rPr>
        <w:t>1189号</w:t>
      </w:r>
      <w:r>
        <w:rPr>
          <w:rFonts w:hint="eastAsia" w:ascii="宋体" w:hAnsi="宋体"/>
          <w:szCs w:val="24"/>
          <w:u w:val="single"/>
        </w:rPr>
        <w:t xml:space="preserve">  </w:t>
      </w:r>
      <w:r>
        <w:rPr>
          <w:rFonts w:hint="eastAsia" w:ascii="宋体" w:hAnsi="宋体"/>
          <w:szCs w:val="24"/>
        </w:rPr>
        <w:t>；邮编：</w:t>
      </w:r>
      <w:r>
        <w:rPr>
          <w:rFonts w:hint="eastAsia" w:ascii="宋体" w:hAnsi="宋体"/>
          <w:szCs w:val="24"/>
          <w:u w:val="single"/>
        </w:rPr>
        <w:t xml:space="preserve"> </w:t>
      </w:r>
      <w:r>
        <w:rPr>
          <w:rFonts w:hint="eastAsia" w:ascii="宋体" w:hAnsi="宋体"/>
          <w:szCs w:val="24"/>
          <w:u w:val="single"/>
          <w:lang w:val="en-US" w:eastAsia="zh-CN"/>
        </w:rPr>
        <w:t>33</w:t>
      </w:r>
      <w:r>
        <w:rPr>
          <w:rFonts w:hint="eastAsia" w:ascii="宋体" w:hAnsi="宋体"/>
          <w:szCs w:val="24"/>
          <w:u w:val="single"/>
        </w:rPr>
        <w:t xml:space="preserve">0000 </w:t>
      </w:r>
      <w:r>
        <w:rPr>
          <w:rFonts w:hint="eastAsia" w:ascii="宋体" w:hAnsi="宋体"/>
          <w:szCs w:val="24"/>
        </w:rPr>
        <w:t>；</w:t>
      </w:r>
    </w:p>
    <w:p>
      <w:pPr>
        <w:pStyle w:val="3"/>
        <w:ind w:left="0" w:leftChars="0" w:firstLine="480" w:firstLineChars="200"/>
        <w:textAlignment w:val="baseline"/>
        <w:rPr>
          <w:rFonts w:hint="eastAsia" w:ascii="宋体" w:hAnsi="宋体"/>
          <w:szCs w:val="24"/>
        </w:rPr>
      </w:pPr>
      <w:r>
        <w:rPr>
          <w:rFonts w:hint="eastAsia" w:ascii="宋体" w:hAnsi="宋体"/>
          <w:szCs w:val="24"/>
        </w:rPr>
        <w:t xml:space="preserve"> 联系电话：</w:t>
      </w:r>
      <w:r>
        <w:rPr>
          <w:rFonts w:hint="eastAsia" w:ascii="宋体" w:hAnsi="宋体"/>
          <w:szCs w:val="24"/>
          <w:u w:val="single"/>
        </w:rPr>
        <w:t xml:space="preserve">  </w:t>
      </w:r>
      <w:r>
        <w:rPr>
          <w:rFonts w:hint="eastAsia" w:ascii="宋体" w:hAnsi="宋体"/>
          <w:szCs w:val="24"/>
          <w:u w:val="single"/>
          <w:lang w:val="en-US" w:eastAsia="zh-CN"/>
        </w:rPr>
        <w:t>0791-88133124</w:t>
      </w:r>
      <w:r>
        <w:rPr>
          <w:rFonts w:hint="eastAsia" w:ascii="宋体" w:hAnsi="宋体"/>
          <w:szCs w:val="24"/>
          <w:u w:val="single"/>
        </w:rPr>
        <w:t xml:space="preserve"> </w:t>
      </w:r>
      <w:r>
        <w:rPr>
          <w:rFonts w:hint="eastAsia" w:ascii="宋体" w:hAnsi="宋体"/>
          <w:szCs w:val="24"/>
        </w:rPr>
        <w:t>；</w:t>
      </w:r>
    </w:p>
    <w:p>
      <w:pPr>
        <w:pStyle w:val="3"/>
        <w:ind w:left="0" w:firstLine="480" w:firstLineChars="200"/>
        <w:textAlignment w:val="baseline"/>
        <w:rPr>
          <w:rFonts w:ascii="宋体" w:hAnsi="宋体"/>
          <w:szCs w:val="24"/>
        </w:rPr>
      </w:pPr>
      <w:r>
        <w:rPr>
          <w:rFonts w:hint="eastAsia" w:ascii="宋体" w:hAnsi="宋体"/>
          <w:szCs w:val="24"/>
        </w:rPr>
        <w:t xml:space="preserve">指定联系人: </w:t>
      </w:r>
      <w:r>
        <w:rPr>
          <w:rFonts w:hint="eastAsia" w:ascii="宋体" w:hAnsi="宋体"/>
          <w:szCs w:val="24"/>
          <w:u w:val="single"/>
        </w:rPr>
        <w:t xml:space="preserve"> </w:t>
      </w:r>
      <w:r>
        <w:rPr>
          <w:rFonts w:hint="eastAsia" w:ascii="宋体" w:hAnsi="宋体"/>
          <w:szCs w:val="24"/>
          <w:u w:val="single"/>
          <w:lang w:eastAsia="zh-CN"/>
        </w:rPr>
        <w:t>何雪凌</w:t>
      </w:r>
      <w:r>
        <w:rPr>
          <w:rFonts w:hint="eastAsia" w:ascii="宋体" w:hAnsi="宋体"/>
          <w:szCs w:val="24"/>
          <w:u w:val="single"/>
          <w:lang w:val="en-US" w:eastAsia="zh-CN"/>
        </w:rPr>
        <w:tab/>
      </w:r>
      <w:r>
        <w:rPr>
          <w:rFonts w:hint="eastAsia" w:ascii="宋体" w:hAnsi="宋体"/>
          <w:szCs w:val="24"/>
          <w:u w:val="single"/>
        </w:rPr>
        <w:t xml:space="preserve">   </w:t>
      </w:r>
      <w:r>
        <w:rPr>
          <w:rFonts w:hint="eastAsia" w:ascii="宋体" w:hAnsi="宋体"/>
          <w:szCs w:val="24"/>
        </w:rPr>
        <w:t>；E-mail：</w:t>
      </w:r>
      <w:r>
        <w:rPr>
          <w:rFonts w:hint="eastAsia" w:ascii="宋体" w:hAnsi="宋体"/>
          <w:szCs w:val="24"/>
          <w:u w:val="single"/>
        </w:rPr>
        <w:t xml:space="preserve">  </w:t>
      </w:r>
      <w:r>
        <w:rPr>
          <w:rFonts w:hint="eastAsia" w:ascii="宋体" w:hAnsi="宋体"/>
          <w:szCs w:val="24"/>
          <w:u w:val="single"/>
          <w:lang w:val="en-US" w:eastAsia="zh-CN"/>
        </w:rPr>
        <w:t>50579358</w:t>
      </w:r>
      <w:r>
        <w:rPr>
          <w:rFonts w:hint="eastAsia" w:ascii="宋体" w:hAnsi="宋体"/>
          <w:szCs w:val="24"/>
          <w:u w:val="single"/>
        </w:rPr>
        <w:t xml:space="preserve">@qq.com  </w:t>
      </w:r>
      <w:r>
        <w:rPr>
          <w:rFonts w:hint="eastAsia" w:ascii="宋体" w:hAnsi="宋体"/>
          <w:szCs w:val="24"/>
        </w:rPr>
        <w:t>；联系电话：</w:t>
      </w:r>
      <w:r>
        <w:rPr>
          <w:rFonts w:hint="eastAsia" w:ascii="宋体" w:hAnsi="宋体"/>
          <w:szCs w:val="24"/>
          <w:u w:val="single"/>
        </w:rPr>
        <w:t xml:space="preserve"> </w:t>
      </w:r>
      <w:r>
        <w:rPr>
          <w:rFonts w:hint="eastAsia" w:ascii="宋体" w:hAnsi="宋体"/>
          <w:szCs w:val="24"/>
          <w:u w:val="single"/>
          <w:lang w:val="en-US" w:eastAsia="zh-CN"/>
        </w:rPr>
        <w:t>13803512353</w:t>
      </w:r>
      <w:r>
        <w:rPr>
          <w:rFonts w:hint="eastAsia" w:ascii="宋体" w:hAnsi="宋体"/>
          <w:szCs w:val="24"/>
          <w:u w:val="single"/>
        </w:rPr>
        <w:t xml:space="preserve">  </w:t>
      </w:r>
      <w:r>
        <w:rPr>
          <w:rFonts w:hint="eastAsia" w:ascii="宋体" w:hAnsi="宋体"/>
          <w:szCs w:val="24"/>
        </w:rPr>
        <w:t>；</w:t>
      </w:r>
    </w:p>
    <w:p>
      <w:pPr>
        <w:pStyle w:val="3"/>
        <w:ind w:left="0" w:firstLine="480" w:firstLineChars="200"/>
        <w:textAlignment w:val="baseline"/>
        <w:rPr>
          <w:rFonts w:ascii="宋体" w:hAnsi="宋体"/>
          <w:szCs w:val="24"/>
        </w:rPr>
      </w:pPr>
      <w:r>
        <w:rPr>
          <w:rFonts w:hint="eastAsia" w:ascii="宋体" w:hAnsi="宋体"/>
          <w:szCs w:val="24"/>
        </w:rPr>
        <w:t>微信号码：</w:t>
      </w:r>
      <w:r>
        <w:rPr>
          <w:rFonts w:hint="eastAsia" w:ascii="宋体" w:hAnsi="宋体"/>
          <w:szCs w:val="24"/>
          <w:u w:val="single"/>
        </w:rPr>
        <w:t xml:space="preserve"> </w:t>
      </w:r>
      <w:r>
        <w:rPr>
          <w:rFonts w:hint="eastAsia" w:ascii="宋体" w:hAnsi="宋体"/>
          <w:szCs w:val="24"/>
          <w:u w:val="single"/>
          <w:lang w:val="en-US" w:eastAsia="zh-CN"/>
        </w:rPr>
        <w:t>hxl50579358</w:t>
      </w:r>
      <w:r>
        <w:rPr>
          <w:rFonts w:hint="eastAsia" w:ascii="宋体" w:hAnsi="宋体"/>
          <w:szCs w:val="24"/>
          <w:u w:val="single"/>
        </w:rPr>
        <w:t xml:space="preserve">  </w:t>
      </w:r>
      <w:r>
        <w:rPr>
          <w:rFonts w:hint="eastAsia" w:ascii="宋体" w:hAnsi="宋体"/>
          <w:szCs w:val="24"/>
        </w:rPr>
        <w:t>；</w:t>
      </w:r>
    </w:p>
    <w:p>
      <w:pPr>
        <w:pStyle w:val="3"/>
        <w:ind w:left="0" w:firstLine="480" w:firstLineChars="200"/>
        <w:textAlignment w:val="baseline"/>
        <w:rPr>
          <w:rFonts w:ascii="宋体" w:hAnsi="宋体"/>
          <w:szCs w:val="24"/>
        </w:rPr>
      </w:pPr>
      <w:r>
        <w:rPr>
          <w:rFonts w:hint="eastAsia" w:ascii="宋体" w:hAnsi="宋体"/>
          <w:szCs w:val="24"/>
        </w:rPr>
        <w:t xml:space="preserve">（2）乙方地址、联系方式 </w:t>
      </w:r>
    </w:p>
    <w:p>
      <w:pPr>
        <w:pStyle w:val="3"/>
        <w:ind w:left="0" w:firstLine="480" w:firstLineChars="200"/>
        <w:textAlignment w:val="baseline"/>
        <w:rPr>
          <w:rFonts w:ascii="宋体" w:hAnsi="宋体"/>
          <w:szCs w:val="24"/>
        </w:rPr>
      </w:pPr>
      <w:r>
        <w:rPr>
          <w:rFonts w:hint="eastAsia" w:ascii="宋体" w:hAnsi="宋体"/>
          <w:szCs w:val="24"/>
        </w:rPr>
        <w:t>单位地址：</w:t>
      </w:r>
      <w:r>
        <w:rPr>
          <w:rFonts w:hint="eastAsia" w:ascii="宋体" w:hAnsi="宋体"/>
          <w:szCs w:val="24"/>
          <w:u w:val="single"/>
          <w:lang w:val="en-US" w:eastAsia="zh-CN"/>
        </w:rPr>
        <w:t xml:space="preserve">            </w:t>
      </w:r>
      <w:r>
        <w:rPr>
          <w:rFonts w:hint="eastAsia" w:ascii="宋体" w:hAnsi="宋体"/>
          <w:szCs w:val="24"/>
        </w:rPr>
        <w:t>；邮编：</w:t>
      </w:r>
      <w:r>
        <w:rPr>
          <w:rFonts w:hint="eastAsia" w:ascii="宋体" w:hAnsi="宋体"/>
          <w:szCs w:val="24"/>
          <w:u w:val="single"/>
          <w:lang w:val="en-US" w:eastAsia="zh-CN"/>
        </w:rPr>
        <w:t xml:space="preserve">        </w:t>
      </w:r>
      <w:r>
        <w:rPr>
          <w:rFonts w:hint="eastAsia" w:ascii="宋体" w:hAnsi="宋体"/>
          <w:szCs w:val="24"/>
        </w:rPr>
        <w:t xml:space="preserve">； </w:t>
      </w:r>
    </w:p>
    <w:p>
      <w:pPr>
        <w:pStyle w:val="3"/>
        <w:ind w:left="0" w:firstLine="480" w:firstLineChars="200"/>
        <w:textAlignment w:val="baseline"/>
        <w:rPr>
          <w:rFonts w:ascii="宋体" w:hAnsi="宋体"/>
          <w:szCs w:val="24"/>
        </w:rPr>
      </w:pPr>
      <w:r>
        <w:rPr>
          <w:rFonts w:hint="eastAsia" w:ascii="宋体" w:hAnsi="宋体"/>
          <w:szCs w:val="24"/>
        </w:rPr>
        <w:t>联系电话：</w:t>
      </w:r>
      <w:r>
        <w:rPr>
          <w:rFonts w:hint="eastAsia" w:ascii="宋体" w:hAnsi="宋体"/>
          <w:szCs w:val="24"/>
          <w:u w:val="single"/>
          <w:lang w:val="en-US" w:eastAsia="zh-CN"/>
        </w:rPr>
        <w:t xml:space="preserve">            </w:t>
      </w:r>
      <w:r>
        <w:rPr>
          <w:rFonts w:hint="eastAsia" w:ascii="宋体" w:hAnsi="宋体"/>
          <w:szCs w:val="24"/>
        </w:rPr>
        <w:t>；指定联系人:</w:t>
      </w:r>
      <w:r>
        <w:rPr>
          <w:rFonts w:hint="eastAsia" w:ascii="宋体" w:hAnsi="宋体"/>
          <w:szCs w:val="24"/>
          <w:u w:val="single"/>
        </w:rPr>
        <w:t xml:space="preserve"> </w:t>
      </w:r>
      <w:r>
        <w:rPr>
          <w:rFonts w:hint="eastAsia" w:ascii="宋体" w:hAnsi="宋体"/>
          <w:szCs w:val="24"/>
          <w:u w:val="single"/>
          <w:lang w:val="en-US" w:eastAsia="zh-CN"/>
        </w:rPr>
        <w:t xml:space="preserve">       </w:t>
      </w:r>
      <w:r>
        <w:rPr>
          <w:rFonts w:hint="eastAsia" w:ascii="宋体" w:hAnsi="宋体"/>
          <w:szCs w:val="24"/>
        </w:rPr>
        <w:t>；E-mail</w:t>
      </w:r>
      <w:r>
        <w:rPr>
          <w:rFonts w:hint="eastAsia" w:ascii="宋体" w:hAnsi="宋体"/>
          <w:szCs w:val="24"/>
          <w:u w:val="single"/>
        </w:rPr>
        <w:t>：</w:t>
      </w:r>
      <w:r>
        <w:rPr>
          <w:rFonts w:hint="eastAsia" w:ascii="宋体" w:hAnsi="宋体"/>
          <w:szCs w:val="24"/>
          <w:u w:val="single"/>
          <w:lang w:val="en-US" w:eastAsia="zh-CN"/>
        </w:rPr>
        <w:t xml:space="preserve">          </w:t>
      </w:r>
      <w:r>
        <w:rPr>
          <w:rFonts w:hint="eastAsia" w:ascii="宋体" w:hAnsi="宋体"/>
          <w:szCs w:val="24"/>
        </w:rPr>
        <w:t>；联系电话：</w:t>
      </w:r>
      <w:r>
        <w:rPr>
          <w:rFonts w:hint="eastAsia" w:ascii="宋体" w:hAnsi="宋体"/>
          <w:szCs w:val="24"/>
          <w:u w:val="single"/>
          <w:lang w:val="en-US" w:eastAsia="zh-CN"/>
        </w:rPr>
        <w:t xml:space="preserve">        </w:t>
      </w:r>
      <w:r>
        <w:rPr>
          <w:rFonts w:hint="eastAsia" w:ascii="宋体" w:hAnsi="宋体"/>
          <w:szCs w:val="24"/>
        </w:rPr>
        <w:t>；</w:t>
      </w:r>
    </w:p>
    <w:p>
      <w:pPr>
        <w:pStyle w:val="3"/>
        <w:ind w:left="0" w:firstLine="480" w:firstLineChars="200"/>
        <w:textAlignment w:val="baseline"/>
        <w:rPr>
          <w:rFonts w:hint="default" w:ascii="宋体" w:hAnsi="宋体" w:eastAsia="宋体"/>
          <w:szCs w:val="24"/>
          <w:u w:val="single"/>
          <w:lang w:val="en-US" w:eastAsia="zh-CN"/>
        </w:rPr>
      </w:pPr>
      <w:r>
        <w:rPr>
          <w:rFonts w:hint="eastAsia" w:ascii="宋体" w:hAnsi="宋体"/>
          <w:szCs w:val="24"/>
        </w:rPr>
        <w:t>微信号码：</w:t>
      </w:r>
      <w:r>
        <w:rPr>
          <w:rFonts w:hint="eastAsia" w:ascii="宋体" w:hAnsi="宋体"/>
          <w:szCs w:val="24"/>
          <w:u w:val="single"/>
          <w:lang w:val="en-US" w:eastAsia="zh-CN"/>
        </w:rPr>
        <w:t xml:space="preserve">          </w:t>
      </w:r>
      <w:r>
        <w:rPr>
          <w:rFonts w:hint="eastAsia" w:ascii="宋体" w:hAnsi="宋体"/>
          <w:szCs w:val="24"/>
        </w:rPr>
        <w:t>；</w:t>
      </w:r>
    </w:p>
    <w:p>
      <w:pPr>
        <w:pStyle w:val="3"/>
        <w:ind w:left="0" w:firstLine="480" w:firstLineChars="200"/>
        <w:textAlignment w:val="baseline"/>
        <w:rPr>
          <w:rFonts w:ascii="宋体" w:hAnsi="宋体"/>
          <w:szCs w:val="24"/>
        </w:rPr>
      </w:pPr>
      <w:r>
        <w:rPr>
          <w:rFonts w:hint="eastAsia" w:ascii="宋体" w:hAnsi="宋体"/>
          <w:szCs w:val="24"/>
        </w:rPr>
        <w:t xml:space="preserve">2、本条第一款约定的上述送达地址和联系方式有变更的，双方应在变更后的二日内书面通知对方，另一方重新确认送达地址和联系方式。如未提前通知的，视为未变更，相应法律后果自行承担，本条第一款约定的送达地址和联系方式仍视为有效送达地址和联系方式。 </w:t>
      </w:r>
    </w:p>
    <w:p>
      <w:pPr>
        <w:pStyle w:val="3"/>
        <w:ind w:left="0" w:firstLine="480" w:firstLineChars="200"/>
        <w:textAlignment w:val="baseline"/>
        <w:rPr>
          <w:rFonts w:ascii="宋体" w:hAnsi="宋体"/>
          <w:szCs w:val="24"/>
        </w:rPr>
      </w:pPr>
      <w:r>
        <w:rPr>
          <w:rFonts w:hint="eastAsia" w:ascii="宋体" w:hAnsi="宋体"/>
          <w:szCs w:val="24"/>
        </w:rPr>
        <w:t xml:space="preserve">3、任何文件、通知及相关法律文书，只要按照本条第一款约定的任一联系方式发送，即应视作在下列日期被送达: </w:t>
      </w:r>
    </w:p>
    <w:p>
      <w:pPr>
        <w:pStyle w:val="3"/>
        <w:ind w:left="0" w:firstLine="480" w:firstLineChars="200"/>
        <w:textAlignment w:val="baseline"/>
        <w:rPr>
          <w:rFonts w:ascii="宋体" w:hAnsi="宋体"/>
          <w:szCs w:val="24"/>
        </w:rPr>
      </w:pPr>
      <w:r>
        <w:rPr>
          <w:rFonts w:hint="eastAsia" w:ascii="宋体" w:hAnsi="宋体"/>
          <w:szCs w:val="24"/>
        </w:rPr>
        <w:t>（1）当面交付文件的，在交付之时视为送达；一方拒收的，另一方有权采取拍照、录像方式记录送达过程，并将文书留置，亦视为送达。</w:t>
      </w:r>
    </w:p>
    <w:p>
      <w:pPr>
        <w:pStyle w:val="3"/>
        <w:ind w:left="0" w:firstLine="480" w:firstLineChars="200"/>
        <w:textAlignment w:val="baseline"/>
        <w:rPr>
          <w:rFonts w:ascii="宋体" w:hAnsi="宋体"/>
          <w:szCs w:val="24"/>
        </w:rPr>
      </w:pPr>
      <w:r>
        <w:rPr>
          <w:rFonts w:hint="eastAsia" w:ascii="宋体" w:hAnsi="宋体"/>
          <w:szCs w:val="24"/>
        </w:rPr>
        <w:t>（2）邮寄（包括特快专递、平信邮寄、挂号邮寄），以邮寄签收之日视为送达日；一方拒收或邮件退回的，以拒收或邮件开始退回之日视为送达。</w:t>
      </w:r>
    </w:p>
    <w:p>
      <w:pPr>
        <w:pStyle w:val="3"/>
        <w:ind w:left="0" w:firstLine="480" w:firstLineChars="200"/>
        <w:textAlignment w:val="baseline"/>
        <w:rPr>
          <w:rFonts w:ascii="宋体" w:hAnsi="宋体"/>
          <w:szCs w:val="24"/>
        </w:rPr>
      </w:pPr>
      <w:r>
        <w:rPr>
          <w:rFonts w:hint="eastAsia" w:ascii="宋体" w:hAnsi="宋体"/>
          <w:szCs w:val="24"/>
        </w:rPr>
        <w:t xml:space="preserve">（3）电子邮件、手机短信、微信、QQ 或其他电子通讯地址，以发送之日视为送达日。 </w:t>
      </w:r>
    </w:p>
    <w:p>
      <w:pPr>
        <w:pStyle w:val="3"/>
        <w:ind w:left="0" w:firstLine="480" w:firstLineChars="200"/>
        <w:textAlignment w:val="baseline"/>
        <w:rPr>
          <w:rFonts w:ascii="宋体" w:hAnsi="宋体"/>
          <w:szCs w:val="24"/>
        </w:rPr>
      </w:pPr>
      <w:r>
        <w:rPr>
          <w:rFonts w:hint="eastAsia" w:ascii="宋体" w:hAnsi="宋体"/>
          <w:szCs w:val="24"/>
        </w:rPr>
        <w:t>4、双方的单位公章、办公室印章、财务专用章、合同专用章、收发章、授权人签字、前台签字等均是双方通讯联系、法律文书接收、信函往来的有效送达印章、签字。本条款上述印章签字用途仅适用于通知送达，签章仅是视为收到文书信函，不视为对文书信函的内容或主张进行确认。</w:t>
      </w:r>
    </w:p>
    <w:p>
      <w:pPr>
        <w:pStyle w:val="3"/>
        <w:ind w:left="0" w:firstLine="480" w:firstLineChars="200"/>
        <w:textAlignment w:val="baseline"/>
        <w:rPr>
          <w:rFonts w:ascii="宋体" w:hAnsi="宋体"/>
          <w:szCs w:val="24"/>
        </w:rPr>
      </w:pPr>
      <w:r>
        <w:rPr>
          <w:rFonts w:hint="eastAsia" w:ascii="宋体" w:hAnsi="宋体"/>
          <w:szCs w:val="24"/>
        </w:rPr>
        <w:t>5、本条约定为合同中独立存在的条款，不受本合同及合同其他条款效力的影响。</w:t>
      </w:r>
    </w:p>
    <w:p>
      <w:pPr>
        <w:spacing w:line="360" w:lineRule="auto"/>
        <w:ind w:right="-286" w:rightChars="-136" w:firstLine="482" w:firstLineChars="200"/>
        <w:rPr>
          <w:sz w:val="24"/>
        </w:rPr>
      </w:pPr>
      <w:r>
        <w:rPr>
          <w:rFonts w:hint="eastAsia"/>
          <w:b/>
          <w:sz w:val="24"/>
        </w:rPr>
        <w:t>第十四条 其他</w:t>
      </w:r>
    </w:p>
    <w:p>
      <w:pPr>
        <w:shd w:val="clear" w:color="auto" w:fill="FFFFFF"/>
        <w:spacing w:line="360" w:lineRule="auto"/>
        <w:ind w:firstLine="480" w:firstLineChars="200"/>
        <w:rPr>
          <w:rFonts w:ascii="微软雅黑" w:hAnsi="微软雅黑" w:eastAsia="微软雅黑" w:cs="微软雅黑"/>
          <w:color w:val="000000"/>
          <w:sz w:val="24"/>
          <w:szCs w:val="24"/>
        </w:rPr>
      </w:pPr>
      <w:r>
        <w:rPr>
          <w:rFonts w:hint="eastAsia" w:ascii="宋体" w:hAnsi="宋体" w:cs="宋体"/>
          <w:bCs/>
          <w:color w:val="000000"/>
          <w:sz w:val="24"/>
          <w:szCs w:val="24"/>
          <w:shd w:val="clear" w:color="auto" w:fill="FFFFFF"/>
          <w:lang w:bidi="ar"/>
        </w:rPr>
        <w:t>1、</w:t>
      </w:r>
      <w:r>
        <w:rPr>
          <w:rFonts w:hint="eastAsia" w:ascii="宋体" w:hAnsi="宋体" w:cs="宋体"/>
          <w:color w:val="000000"/>
          <w:sz w:val="24"/>
          <w:szCs w:val="24"/>
          <w:shd w:val="clear" w:color="auto" w:fill="FFFFFF"/>
          <w:lang w:bidi="ar"/>
        </w:rPr>
        <w:t>合同生效后，双方均应严格守信，除非经过对方同意，或者另有法定理由，任何一方不得变更或解除合同。否则须向对方支付合同总金额20%的违约金。</w:t>
      </w:r>
    </w:p>
    <w:p>
      <w:pPr>
        <w:shd w:val="clear" w:color="auto" w:fill="FFFFFF"/>
        <w:spacing w:line="360" w:lineRule="auto"/>
        <w:ind w:firstLine="480" w:firstLineChars="200"/>
        <w:rPr>
          <w:rFonts w:ascii="微软雅黑" w:hAnsi="微软雅黑" w:eastAsia="微软雅黑" w:cs="微软雅黑"/>
          <w:color w:val="000000"/>
          <w:sz w:val="24"/>
          <w:szCs w:val="24"/>
        </w:rPr>
      </w:pPr>
      <w:r>
        <w:rPr>
          <w:rFonts w:hint="eastAsia" w:ascii="宋体" w:hAnsi="宋体" w:cs="宋体"/>
          <w:bCs/>
          <w:color w:val="000000"/>
          <w:sz w:val="24"/>
          <w:szCs w:val="24"/>
          <w:shd w:val="clear" w:color="auto" w:fill="FFFFFF"/>
          <w:lang w:bidi="ar"/>
        </w:rPr>
        <w:t>2、</w:t>
      </w:r>
      <w:r>
        <w:rPr>
          <w:rFonts w:hint="eastAsia" w:ascii="宋体" w:hAnsi="宋体" w:cs="宋体"/>
          <w:color w:val="000000"/>
          <w:sz w:val="24"/>
          <w:szCs w:val="24"/>
          <w:shd w:val="clear" w:color="auto" w:fill="FFFFFF"/>
          <w:lang w:bidi="ar"/>
        </w:rPr>
        <w:t>合同如有未尽事宜，须经双方共同协商，可作出补充规定，补充规定与本合同具有同等法律效力。本合同如有后续补充协议经双方达成一致后必须加盖与本合同相同合同公章，否则视为无效协议。</w:t>
      </w:r>
    </w:p>
    <w:p>
      <w:pPr>
        <w:spacing w:line="360" w:lineRule="auto"/>
        <w:ind w:right="-286" w:rightChars="-136" w:firstLine="480" w:firstLineChars="200"/>
        <w:rPr>
          <w:rFonts w:ascii="宋体" w:hAnsi="宋体"/>
          <w:sz w:val="24"/>
        </w:rPr>
      </w:pPr>
      <w:r>
        <w:rPr>
          <w:rFonts w:hint="eastAsia" w:ascii="宋体" w:hAnsi="宋体"/>
          <w:sz w:val="24"/>
        </w:rPr>
        <w:t>3、甲方提供的工艺图和订购单、传真和E-mail为合同附件，与本合同具有同等法律效力。</w:t>
      </w:r>
    </w:p>
    <w:p>
      <w:pPr>
        <w:spacing w:line="360" w:lineRule="auto"/>
        <w:ind w:right="-286" w:rightChars="-136" w:firstLine="480" w:firstLineChars="200"/>
        <w:rPr>
          <w:rFonts w:ascii="宋体" w:hAnsi="宋体" w:cs="宋体"/>
          <w:color w:val="000000"/>
          <w:sz w:val="24"/>
          <w:szCs w:val="24"/>
          <w:shd w:val="clear" w:color="auto" w:fill="FFFFFF"/>
          <w:lang w:bidi="ar"/>
        </w:rPr>
      </w:pPr>
      <w:r>
        <w:rPr>
          <w:rFonts w:hint="eastAsia" w:ascii="宋体" w:hAnsi="宋体"/>
          <w:sz w:val="24"/>
        </w:rPr>
        <w:t>4、本合同正本一式四份，双方各执二份，具有同等法律效力。</w:t>
      </w:r>
      <w:r>
        <w:rPr>
          <w:rFonts w:ascii="宋体" w:hAnsi="宋体" w:cs="宋体"/>
          <w:color w:val="000000"/>
          <w:sz w:val="24"/>
          <w:szCs w:val="24"/>
          <w:shd w:val="clear" w:color="auto" w:fill="FFFFFF"/>
          <w:lang w:bidi="ar"/>
        </w:rPr>
        <w:t>合同自双方签字盖章之日起生效，传真件同等有效。甲乙双方履行完合同全部条款后合同自动终止。</w:t>
      </w:r>
    </w:p>
    <w:p>
      <w:pPr>
        <w:widowControl w:val="0"/>
        <w:spacing w:line="360" w:lineRule="auto"/>
        <w:ind w:right="-286" w:rightChars="-136" w:firstLine="480" w:firstLineChars="200"/>
        <w:jc w:val="both"/>
        <w:rPr>
          <w:kern w:val="2"/>
          <w:sz w:val="24"/>
        </w:rPr>
      </w:pPr>
      <w:r>
        <w:rPr>
          <w:rFonts w:hint="eastAsia" w:ascii="宋体" w:hAnsi="宋体" w:cs="宋体"/>
          <w:color w:val="000000"/>
          <w:sz w:val="24"/>
          <w:szCs w:val="24"/>
          <w:shd w:val="clear" w:color="auto" w:fill="FFFFFF"/>
          <w:lang w:bidi="ar"/>
        </w:rPr>
        <w:t>5、</w:t>
      </w:r>
      <w:r>
        <w:rPr>
          <w:rFonts w:hint="eastAsia" w:ascii="宋体" w:hAnsi="宋体"/>
          <w:sz w:val="24"/>
        </w:rPr>
        <w:t>合同签订日期为  202</w:t>
      </w:r>
      <w:r>
        <w:rPr>
          <w:rFonts w:hint="eastAsia" w:ascii="宋体" w:hAnsi="宋体"/>
          <w:sz w:val="24"/>
          <w:lang w:val="en-US" w:eastAsia="zh-CN"/>
        </w:rPr>
        <w:t>2</w:t>
      </w:r>
      <w:r>
        <w:rPr>
          <w:rFonts w:hint="eastAsia" w:ascii="宋体" w:hAnsi="宋体"/>
          <w:sz w:val="24"/>
        </w:rPr>
        <w:t>年  月    日。甲乙双方履行完合同全部条款后合同自动终止。</w:t>
      </w:r>
    </w:p>
    <w:p>
      <w:pPr>
        <w:adjustRightInd w:val="0"/>
        <w:snapToGrid w:val="0"/>
        <w:spacing w:after="50" w:line="300" w:lineRule="auto"/>
        <w:ind w:firstLine="480" w:firstLineChars="200"/>
        <w:textAlignment w:val="baseline"/>
        <w:rPr>
          <w:rFonts w:hint="eastAsia" w:ascii="宋体" w:hAnsi="宋体"/>
          <w:sz w:val="24"/>
          <w:lang w:val="en-US" w:eastAsia="zh-CN"/>
        </w:rPr>
      </w:pPr>
      <w:r>
        <w:rPr>
          <w:rFonts w:hint="eastAsia" w:ascii="宋体" w:hAnsi="宋体"/>
          <w:sz w:val="24"/>
          <w:lang w:val="en-US" w:eastAsia="zh-CN"/>
        </w:rPr>
        <w:t>6、</w:t>
      </w:r>
      <w:r>
        <w:rPr>
          <w:rFonts w:ascii="宋体" w:hAnsi="宋体" w:eastAsia="宋体" w:cs="宋体"/>
          <w:sz w:val="24"/>
          <w:szCs w:val="24"/>
        </w:rPr>
        <w:t>甲、乙双方确认任何对合同条款的实质性变更应当以正式书面的补充协议并加盖双方公章或合同章为唯一标准，前述实质性变更即指包括但不限于产品价格（包括单价）、数量、质量标准、验收标准、结算付款方式、违约责任、争议管辖等。任何一方通过送货单、收货单、对账单、结算单、往来函件、电子邮件等方式擅自对合同条款进行实质性变更的均不能产生法律效力</w:t>
      </w:r>
    </w:p>
    <w:p>
      <w:pPr>
        <w:adjustRightInd w:val="0"/>
        <w:snapToGrid w:val="0"/>
        <w:spacing w:after="50" w:line="300" w:lineRule="auto"/>
        <w:ind w:firstLine="480" w:firstLineChars="200"/>
        <w:textAlignment w:val="baseline"/>
        <w:rPr>
          <w:rFonts w:ascii="宋体" w:hAnsi="宋体"/>
          <w:sz w:val="24"/>
          <w:lang w:val="zh-CN"/>
        </w:rPr>
      </w:pPr>
      <w:r>
        <w:rPr>
          <w:rFonts w:hint="eastAsia" w:ascii="宋体" w:hAnsi="宋体"/>
          <w:sz w:val="24"/>
          <w:lang w:val="zh-CN"/>
        </w:rPr>
        <w:t>合同附件：</w:t>
      </w:r>
    </w:p>
    <w:p>
      <w:pPr>
        <w:adjustRightInd w:val="0"/>
        <w:snapToGrid w:val="0"/>
        <w:spacing w:after="50" w:line="300" w:lineRule="auto"/>
        <w:ind w:firstLine="480" w:firstLineChars="200"/>
        <w:textAlignment w:val="baseline"/>
        <w:rPr>
          <w:rFonts w:ascii="宋体" w:hAnsi="宋体"/>
          <w:sz w:val="24"/>
          <w:lang w:val="zh-CN"/>
        </w:rPr>
      </w:pPr>
      <w:r>
        <w:rPr>
          <w:rFonts w:hint="eastAsia" w:ascii="宋体" w:hAnsi="宋体"/>
          <w:sz w:val="24"/>
          <w:lang w:val="zh-CN"/>
        </w:rPr>
        <w:t>附件1：《钣金加工检测标准》</w:t>
      </w:r>
    </w:p>
    <w:p>
      <w:pPr>
        <w:adjustRightInd w:val="0"/>
        <w:snapToGrid w:val="0"/>
        <w:spacing w:after="50" w:line="300" w:lineRule="auto"/>
        <w:ind w:firstLine="480" w:firstLineChars="200"/>
        <w:textAlignment w:val="baseline"/>
        <w:rPr>
          <w:rFonts w:ascii="宋体" w:hAnsi="宋体"/>
          <w:sz w:val="24"/>
          <w:lang w:val="zh-CN"/>
        </w:rPr>
      </w:pPr>
      <w:r>
        <w:rPr>
          <w:rFonts w:hint="eastAsia" w:ascii="宋体" w:hAnsi="宋体"/>
          <w:sz w:val="24"/>
          <w:lang w:val="zh-CN"/>
        </w:rPr>
        <w:t>附件2：《发货单模版》</w:t>
      </w:r>
    </w:p>
    <w:p>
      <w:pPr>
        <w:adjustRightInd w:val="0"/>
        <w:snapToGrid w:val="0"/>
        <w:spacing w:after="50" w:line="300" w:lineRule="auto"/>
        <w:ind w:firstLine="480" w:firstLineChars="200"/>
        <w:textAlignment w:val="baseline"/>
        <w:rPr>
          <w:rFonts w:ascii="宋体" w:hAnsi="宋体"/>
          <w:sz w:val="24"/>
          <w:lang w:val="zh-CN"/>
        </w:rPr>
      </w:pPr>
      <w:r>
        <w:rPr>
          <w:rFonts w:hint="eastAsia" w:ascii="宋体" w:hAnsi="宋体"/>
          <w:sz w:val="24"/>
          <w:lang w:val="zh-CN"/>
        </w:rPr>
        <w:t>附件3：《工程下料单模版》</w:t>
      </w:r>
    </w:p>
    <w:p>
      <w:pPr>
        <w:adjustRightInd w:val="0"/>
        <w:snapToGrid w:val="0"/>
        <w:spacing w:after="50" w:line="300" w:lineRule="auto"/>
        <w:ind w:firstLine="480" w:firstLineChars="200"/>
        <w:textAlignment w:val="baseline"/>
        <w:rPr>
          <w:rFonts w:ascii="宋体" w:hAnsi="宋体"/>
          <w:sz w:val="24"/>
          <w:lang w:val="zh-CN"/>
        </w:rPr>
      </w:pPr>
      <w:r>
        <w:rPr>
          <w:rFonts w:hint="eastAsia" w:ascii="宋体" w:hAnsi="宋体"/>
          <w:sz w:val="24"/>
          <w:lang w:val="zh-CN"/>
        </w:rPr>
        <w:t>附件4：《诚信廉洁承诺书》</w:t>
      </w:r>
    </w:p>
    <w:p>
      <w:pPr>
        <w:adjustRightInd w:val="0"/>
        <w:snapToGrid w:val="0"/>
        <w:spacing w:after="50" w:line="300" w:lineRule="auto"/>
        <w:ind w:firstLine="480" w:firstLineChars="200"/>
        <w:textAlignment w:val="baseline"/>
        <w:rPr>
          <w:rFonts w:ascii="宋体" w:hAnsi="宋体"/>
          <w:sz w:val="24"/>
          <w:lang w:val="zh-CN"/>
        </w:rPr>
      </w:pPr>
      <w:r>
        <w:rPr>
          <w:rFonts w:hint="eastAsia" w:ascii="宋体" w:hAnsi="宋体"/>
          <w:sz w:val="24"/>
          <w:lang w:val="zh-CN"/>
        </w:rPr>
        <w:t>附件5：《保密承诺书》</w:t>
      </w:r>
    </w:p>
    <w:p>
      <w:pPr>
        <w:adjustRightInd w:val="0"/>
        <w:snapToGrid w:val="0"/>
        <w:spacing w:after="50" w:line="300" w:lineRule="auto"/>
        <w:ind w:firstLine="480" w:firstLineChars="200"/>
        <w:textAlignment w:val="baseline"/>
        <w:rPr>
          <w:rFonts w:ascii="宋体" w:hAnsi="宋体"/>
          <w:b/>
          <w:sz w:val="24"/>
          <w:lang w:val="zh-CN"/>
        </w:rPr>
      </w:pPr>
      <w:r>
        <w:rPr>
          <w:rFonts w:hint="eastAsia" w:ascii="宋体" w:hAnsi="宋体"/>
          <w:sz w:val="24"/>
          <w:lang w:val="zh-CN"/>
        </w:rPr>
        <w:t>附件6：《发货流程》</w:t>
      </w:r>
    </w:p>
    <w:tbl>
      <w:tblPr>
        <w:tblStyle w:val="8"/>
        <w:tblpPr w:leftFromText="180" w:rightFromText="180" w:vertAnchor="text" w:horzAnchor="margin" w:tblpXSpec="center" w:tblpY="19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2"/>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2" w:type="dxa"/>
            <w:noWrap w:val="0"/>
            <w:vAlign w:val="top"/>
          </w:tcPr>
          <w:p>
            <w:pPr>
              <w:spacing w:line="420" w:lineRule="exact"/>
              <w:ind w:left="-315" w:leftChars="-150" w:right="-286" w:rightChars="-136" w:firstLine="315" w:firstLineChars="150"/>
              <w:textAlignment w:val="baseline"/>
              <w:rPr>
                <w:rFonts w:ascii="宋体" w:hAnsi="宋体"/>
              </w:rPr>
            </w:pPr>
            <w:r>
              <w:rPr>
                <w:rFonts w:hint="eastAsia" w:ascii="宋体" w:hAnsi="宋体"/>
              </w:rPr>
              <w:t xml:space="preserve">             甲   方</w:t>
            </w:r>
          </w:p>
          <w:p>
            <w:pPr>
              <w:spacing w:line="420" w:lineRule="exact"/>
              <w:ind w:left="-315" w:leftChars="-150" w:right="-286" w:rightChars="-136" w:firstLine="315" w:firstLineChars="150"/>
              <w:textAlignment w:val="baseline"/>
              <w:rPr>
                <w:rFonts w:ascii="宋体" w:hAnsi="宋体"/>
              </w:rPr>
            </w:pPr>
            <w:r>
              <w:rPr>
                <w:rFonts w:hint="eastAsia" w:ascii="宋体" w:hAnsi="宋体"/>
              </w:rPr>
              <w:t>单位名称：</w:t>
            </w:r>
            <w:r>
              <w:rPr>
                <w:rFonts w:hint="eastAsia" w:ascii="宋体" w:hAnsi="宋体"/>
                <w:color w:val="000000"/>
                <w:kern w:val="0"/>
                <w:sz w:val="24"/>
              </w:rPr>
              <w:t>方大新材料（江西）有限公司</w:t>
            </w:r>
          </w:p>
          <w:p>
            <w:pPr>
              <w:spacing w:line="420" w:lineRule="exact"/>
              <w:ind w:left="-315" w:leftChars="-150" w:right="-286" w:rightChars="-136" w:firstLine="315" w:firstLineChars="150"/>
              <w:textAlignment w:val="baseline"/>
              <w:rPr>
                <w:rFonts w:ascii="宋体" w:hAnsi="宋体"/>
              </w:rPr>
            </w:pPr>
            <w:r>
              <w:rPr>
                <w:rFonts w:hint="eastAsia" w:ascii="宋体" w:hAnsi="宋体"/>
              </w:rPr>
              <w:t>单位地址：南昌市高新大道1189号</w:t>
            </w:r>
          </w:p>
          <w:p>
            <w:pPr>
              <w:spacing w:line="420" w:lineRule="exact"/>
              <w:ind w:left="-315" w:leftChars="-150" w:right="-286" w:rightChars="-136" w:firstLine="315" w:firstLineChars="150"/>
              <w:textAlignment w:val="baseline"/>
              <w:rPr>
                <w:rFonts w:hint="eastAsia" w:ascii="宋体" w:hAnsi="宋体" w:eastAsia="宋体"/>
                <w:lang w:eastAsia="zh-CN"/>
              </w:rPr>
            </w:pPr>
            <w:r>
              <w:rPr>
                <w:rFonts w:hint="eastAsia" w:ascii="宋体" w:hAnsi="宋体"/>
              </w:rPr>
              <w:t>法定代表：</w:t>
            </w:r>
            <w:r>
              <w:rPr>
                <w:rFonts w:hint="eastAsia" w:ascii="宋体" w:hAnsi="宋体"/>
                <w:lang w:eastAsia="zh-CN"/>
              </w:rPr>
              <w:t>李军</w:t>
            </w:r>
          </w:p>
          <w:p>
            <w:pPr>
              <w:spacing w:line="420" w:lineRule="exact"/>
              <w:ind w:left="-315" w:leftChars="-150" w:right="-286" w:rightChars="-136" w:firstLine="315" w:firstLineChars="150"/>
              <w:textAlignment w:val="baseline"/>
              <w:rPr>
                <w:rFonts w:hint="eastAsia" w:ascii="宋体" w:hAnsi="宋体" w:eastAsia="宋体"/>
                <w:lang w:eastAsia="zh-CN"/>
              </w:rPr>
            </w:pPr>
            <w:r>
              <w:rPr>
                <w:rFonts w:hint="eastAsia" w:ascii="宋体" w:hAnsi="宋体"/>
              </w:rPr>
              <w:t>委托代理：</w:t>
            </w:r>
            <w:r>
              <w:rPr>
                <w:rFonts w:hint="eastAsia" w:ascii="宋体" w:hAnsi="宋体"/>
                <w:lang w:eastAsia="zh-CN"/>
              </w:rPr>
              <w:t>何雪凌</w:t>
            </w:r>
          </w:p>
          <w:p>
            <w:pPr>
              <w:spacing w:line="420" w:lineRule="exact"/>
              <w:ind w:left="-315" w:leftChars="-150" w:right="-286" w:rightChars="-136" w:firstLine="315" w:firstLineChars="150"/>
              <w:textAlignment w:val="baseline"/>
              <w:rPr>
                <w:rFonts w:hint="default" w:ascii="宋体" w:hAnsi="宋体" w:eastAsia="宋体"/>
                <w:lang w:val="en-US" w:eastAsia="zh-CN"/>
              </w:rPr>
            </w:pPr>
            <w:r>
              <w:rPr>
                <w:rFonts w:hint="eastAsia" w:ascii="宋体" w:hAnsi="宋体"/>
              </w:rPr>
              <w:t>电话：</w:t>
            </w:r>
            <w:r>
              <w:rPr>
                <w:rFonts w:hint="eastAsia" w:ascii="宋体" w:hAnsi="宋体"/>
                <w:lang w:val="en-US" w:eastAsia="zh-CN"/>
              </w:rPr>
              <w:t>13803512353</w:t>
            </w:r>
          </w:p>
          <w:p>
            <w:pPr>
              <w:spacing w:line="420" w:lineRule="exact"/>
              <w:ind w:left="-315" w:leftChars="-150" w:right="-286" w:rightChars="-136" w:firstLine="315" w:firstLineChars="150"/>
              <w:textAlignment w:val="baseline"/>
              <w:rPr>
                <w:rFonts w:ascii="宋体" w:hAnsi="宋体"/>
              </w:rPr>
            </w:pPr>
            <w:r>
              <w:rPr>
                <w:rFonts w:hint="eastAsia" w:ascii="宋体" w:hAnsi="宋体"/>
              </w:rPr>
              <w:t>税号：913601007485261173</w:t>
            </w:r>
          </w:p>
          <w:p>
            <w:pPr>
              <w:spacing w:line="420" w:lineRule="exact"/>
              <w:ind w:left="-315" w:leftChars="-150" w:right="-286" w:rightChars="-136" w:firstLine="315" w:firstLineChars="150"/>
              <w:textAlignment w:val="baseline"/>
              <w:rPr>
                <w:rFonts w:ascii="宋体" w:hAnsi="宋体"/>
              </w:rPr>
            </w:pPr>
            <w:r>
              <w:rPr>
                <w:rFonts w:hint="eastAsia" w:ascii="宋体" w:hAnsi="宋体"/>
              </w:rPr>
              <w:t>开户银行： 交行南昌市北京东路支行</w:t>
            </w:r>
          </w:p>
          <w:p>
            <w:pPr>
              <w:spacing w:line="420" w:lineRule="exact"/>
              <w:ind w:left="-315" w:leftChars="-150" w:right="-286" w:rightChars="-136" w:firstLine="315" w:firstLineChars="150"/>
              <w:textAlignment w:val="baseline"/>
              <w:rPr>
                <w:rFonts w:ascii="宋体" w:hAnsi="宋体"/>
              </w:rPr>
            </w:pPr>
            <w:r>
              <w:rPr>
                <w:rFonts w:hint="eastAsia" w:ascii="宋体" w:hAnsi="宋体"/>
              </w:rPr>
              <w:t>帐号：361606000018000293796</w:t>
            </w:r>
          </w:p>
        </w:tc>
        <w:tc>
          <w:tcPr>
            <w:tcW w:w="4860" w:type="dxa"/>
            <w:noWrap w:val="0"/>
            <w:vAlign w:val="top"/>
          </w:tcPr>
          <w:p>
            <w:pPr>
              <w:spacing w:line="420" w:lineRule="exact"/>
              <w:ind w:left="-315" w:leftChars="-150" w:right="-286" w:rightChars="-136" w:firstLine="315" w:firstLineChars="150"/>
              <w:textAlignment w:val="baseline"/>
              <w:rPr>
                <w:rFonts w:ascii="宋体" w:hAnsi="宋体"/>
              </w:rPr>
            </w:pPr>
            <w:r>
              <w:rPr>
                <w:rFonts w:hint="eastAsia" w:ascii="宋体" w:hAnsi="宋体"/>
              </w:rPr>
              <w:t xml:space="preserve">              乙   方</w:t>
            </w:r>
          </w:p>
          <w:p>
            <w:pPr>
              <w:spacing w:line="420" w:lineRule="exact"/>
              <w:ind w:left="-315" w:leftChars="-150" w:right="-286" w:rightChars="-136" w:firstLine="315" w:firstLineChars="150"/>
              <w:textAlignment w:val="baseline"/>
              <w:rPr>
                <w:rFonts w:ascii="宋体" w:hAnsi="宋体"/>
              </w:rPr>
            </w:pPr>
            <w:r>
              <w:rPr>
                <w:rFonts w:hint="eastAsia" w:ascii="宋体" w:hAnsi="宋体"/>
              </w:rPr>
              <w:t>单位名称：</w:t>
            </w:r>
          </w:p>
          <w:p>
            <w:pPr>
              <w:spacing w:line="420" w:lineRule="exact"/>
              <w:ind w:left="-315" w:leftChars="-150" w:right="-286" w:rightChars="-136" w:firstLine="315" w:firstLineChars="150"/>
              <w:textAlignment w:val="baseline"/>
              <w:rPr>
                <w:rFonts w:hint="eastAsia" w:ascii="宋体" w:hAnsi="宋体" w:eastAsia="宋体"/>
                <w:lang w:eastAsia="zh-CN"/>
              </w:rPr>
            </w:pPr>
            <w:r>
              <w:rPr>
                <w:rFonts w:hint="eastAsia" w:ascii="宋体" w:hAnsi="宋体"/>
              </w:rPr>
              <w:t>单位地址：</w:t>
            </w:r>
          </w:p>
          <w:p>
            <w:pPr>
              <w:spacing w:line="420" w:lineRule="exact"/>
              <w:ind w:left="-315" w:leftChars="-150" w:right="-286" w:rightChars="-136" w:firstLine="315" w:firstLineChars="150"/>
              <w:textAlignment w:val="baseline"/>
              <w:rPr>
                <w:rFonts w:hint="eastAsia" w:ascii="宋体" w:hAnsi="宋体"/>
              </w:rPr>
            </w:pPr>
            <w:r>
              <w:rPr>
                <w:rFonts w:hint="eastAsia" w:ascii="宋体" w:hAnsi="宋体"/>
              </w:rPr>
              <w:t>法定代表：</w:t>
            </w:r>
          </w:p>
          <w:p>
            <w:pPr>
              <w:spacing w:line="420" w:lineRule="exact"/>
              <w:ind w:left="-315" w:leftChars="-150" w:right="-286" w:rightChars="-136" w:firstLine="315" w:firstLineChars="150"/>
              <w:textAlignment w:val="baseline"/>
              <w:rPr>
                <w:rFonts w:hint="eastAsia" w:ascii="宋体" w:hAnsi="宋体"/>
              </w:rPr>
            </w:pPr>
            <w:r>
              <w:rPr>
                <w:rFonts w:hint="eastAsia" w:ascii="宋体" w:hAnsi="宋体"/>
              </w:rPr>
              <w:t>委托代理：</w:t>
            </w:r>
          </w:p>
          <w:p>
            <w:pPr>
              <w:spacing w:line="420" w:lineRule="exact"/>
              <w:ind w:left="-315" w:leftChars="-150" w:right="-286" w:rightChars="-136" w:firstLine="315" w:firstLineChars="150"/>
              <w:textAlignment w:val="baseline"/>
              <w:rPr>
                <w:rFonts w:hint="default" w:ascii="宋体" w:hAnsi="宋体" w:eastAsia="宋体"/>
                <w:lang w:val="en-US" w:eastAsia="zh-CN"/>
              </w:rPr>
            </w:pPr>
            <w:r>
              <w:rPr>
                <w:rFonts w:hint="eastAsia" w:ascii="宋体" w:hAnsi="宋体"/>
              </w:rPr>
              <w:t>电话：</w:t>
            </w:r>
          </w:p>
          <w:p>
            <w:pPr>
              <w:spacing w:line="420" w:lineRule="exact"/>
              <w:ind w:left="-149" w:leftChars="-71" w:right="-136" w:firstLine="210" w:firstLineChars="100"/>
              <w:textAlignment w:val="baseline"/>
              <w:rPr>
                <w:rFonts w:hint="default" w:ascii="宋体" w:hAnsi="宋体" w:eastAsia="宋体"/>
                <w:lang w:val="en-US" w:eastAsia="zh-CN"/>
              </w:rPr>
            </w:pPr>
            <w:r>
              <w:rPr>
                <w:rFonts w:hint="eastAsia" w:ascii="宋体" w:hAnsi="宋体"/>
              </w:rPr>
              <w:t>税号：</w:t>
            </w:r>
          </w:p>
          <w:p>
            <w:pPr>
              <w:spacing w:line="420" w:lineRule="exact"/>
              <w:ind w:left="-315" w:leftChars="-150" w:right="-286" w:rightChars="-136" w:firstLine="315" w:firstLineChars="150"/>
              <w:textAlignment w:val="baseline"/>
              <w:rPr>
                <w:rFonts w:hint="eastAsia" w:ascii="宋体" w:hAnsi="宋体" w:eastAsia="宋体"/>
                <w:lang w:eastAsia="zh-CN"/>
              </w:rPr>
            </w:pPr>
            <w:r>
              <w:rPr>
                <w:rFonts w:hint="eastAsia" w:ascii="宋体" w:hAnsi="宋体"/>
              </w:rPr>
              <w:t>开户银行：</w:t>
            </w:r>
          </w:p>
          <w:p>
            <w:pPr>
              <w:spacing w:line="420" w:lineRule="exact"/>
              <w:ind w:left="-315" w:leftChars="-150" w:right="-286" w:rightChars="-136" w:firstLine="315" w:firstLineChars="150"/>
              <w:textAlignment w:val="baseline"/>
              <w:rPr>
                <w:rFonts w:hint="default" w:ascii="宋体" w:hAnsi="宋体" w:eastAsia="宋体"/>
                <w:lang w:val="en-US" w:eastAsia="zh-CN"/>
              </w:rPr>
            </w:pPr>
            <w:r>
              <w:rPr>
                <w:rFonts w:hint="eastAsia" w:ascii="宋体" w:hAnsi="宋体"/>
              </w:rPr>
              <w:t>帐号：</w:t>
            </w:r>
          </w:p>
        </w:tc>
      </w:tr>
    </w:tbl>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r>
        <w:rPr>
          <w:rFonts w:hint="eastAsia"/>
          <w:sz w:val="28"/>
        </w:rPr>
        <w:t>合同附件1：钣金加工检测标准</w:t>
      </w:r>
    </w:p>
    <w:p>
      <w:pPr>
        <w:adjustRightInd w:val="0"/>
        <w:snapToGrid w:val="0"/>
        <w:spacing w:line="300" w:lineRule="auto"/>
        <w:rPr>
          <w:rFonts w:ascii="宋体" w:hAnsi="宋体"/>
          <w:szCs w:val="21"/>
        </w:rPr>
      </w:pPr>
    </w:p>
    <w:tbl>
      <w:tblPr>
        <w:tblStyle w:val="8"/>
        <w:tblW w:w="0" w:type="auto"/>
        <w:tblInd w:w="0" w:type="dxa"/>
        <w:tblLayout w:type="fixed"/>
        <w:tblCellMar>
          <w:top w:w="0" w:type="dxa"/>
          <w:left w:w="108" w:type="dxa"/>
          <w:bottom w:w="0" w:type="dxa"/>
          <w:right w:w="108" w:type="dxa"/>
        </w:tblCellMar>
      </w:tblPr>
      <w:tblGrid>
        <w:gridCol w:w="848"/>
        <w:gridCol w:w="848"/>
        <w:gridCol w:w="248"/>
        <w:gridCol w:w="659"/>
        <w:gridCol w:w="254"/>
        <w:gridCol w:w="573"/>
        <w:gridCol w:w="21"/>
        <w:gridCol w:w="849"/>
        <w:gridCol w:w="303"/>
        <w:gridCol w:w="663"/>
        <w:gridCol w:w="789"/>
        <w:gridCol w:w="848"/>
        <w:gridCol w:w="848"/>
        <w:gridCol w:w="896"/>
      </w:tblGrid>
      <w:tr>
        <w:tblPrEx>
          <w:tblCellMar>
            <w:top w:w="0" w:type="dxa"/>
            <w:left w:w="108" w:type="dxa"/>
            <w:bottom w:w="0" w:type="dxa"/>
            <w:right w:w="108" w:type="dxa"/>
          </w:tblCellMar>
        </w:tblPrEx>
        <w:trPr>
          <w:trHeight w:val="375" w:hRule="atLeast"/>
        </w:trPr>
        <w:tc>
          <w:tcPr>
            <w:tcW w:w="8647" w:type="dxa"/>
            <w:gridSpan w:val="14"/>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r>
              <w:rPr>
                <w:rFonts w:ascii="宋体" w:hAnsi="宋体"/>
                <w:b/>
                <w:szCs w:val="21"/>
              </w:rPr>
              <w:t xml:space="preserve">  1.0 下料标准：</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r>
              <w:rPr>
                <w:rFonts w:ascii="宋体" w:hAnsi="宋体"/>
                <w:b/>
                <w:szCs w:val="21"/>
              </w:rPr>
              <w:t>项目</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r>
              <w:rPr>
                <w:rFonts w:ascii="宋体" w:hAnsi="宋体"/>
                <w:b/>
                <w:szCs w:val="21"/>
              </w:rPr>
              <w:t>标  准  要  求</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rPr>
                <w:rFonts w:ascii="宋体" w:hAnsi="宋体"/>
                <w:szCs w:val="21"/>
              </w:rPr>
            </w:pPr>
          </w:p>
        </w:tc>
        <w:tc>
          <w:tcPr>
            <w:tcW w:w="3570"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基本尺寸</w:t>
            </w:r>
          </w:p>
        </w:tc>
        <w:tc>
          <w:tcPr>
            <w:tcW w:w="338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允许公差</w:t>
            </w:r>
          </w:p>
        </w:tc>
      </w:tr>
      <w:tr>
        <w:tblPrEx>
          <w:tblCellMar>
            <w:top w:w="0" w:type="dxa"/>
            <w:left w:w="108" w:type="dxa"/>
            <w:bottom w:w="0" w:type="dxa"/>
            <w:right w:w="108" w:type="dxa"/>
          </w:tblCellMar>
        </w:tblPrEx>
        <w:trPr>
          <w:trHeight w:val="37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175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基材厚度</w:t>
            </w:r>
          </w:p>
        </w:tc>
        <w:tc>
          <w:tcPr>
            <w:tcW w:w="6044"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基材必须符合GB/T3880-2006规定要求</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175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板长和宽</w:t>
            </w:r>
          </w:p>
        </w:tc>
        <w:tc>
          <w:tcPr>
            <w:tcW w:w="2663" w:type="dxa"/>
            <w:gridSpan w:val="6"/>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338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±1.0mm</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p>
        </w:tc>
        <w:tc>
          <w:tcPr>
            <w:tcW w:w="17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对角线</w:t>
            </w:r>
          </w:p>
        </w:tc>
        <w:tc>
          <w:tcPr>
            <w:tcW w:w="2663"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≤2000</w:t>
            </w:r>
          </w:p>
        </w:tc>
        <w:tc>
          <w:tcPr>
            <w:tcW w:w="338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±2.0mm</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p>
        </w:tc>
        <w:tc>
          <w:tcPr>
            <w:tcW w:w="17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rPr>
                <w:rFonts w:ascii="宋体" w:hAnsi="宋体"/>
                <w:szCs w:val="21"/>
              </w:rPr>
            </w:pPr>
          </w:p>
        </w:tc>
        <w:tc>
          <w:tcPr>
            <w:tcW w:w="2663"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＞2000</w:t>
            </w:r>
          </w:p>
        </w:tc>
        <w:tc>
          <w:tcPr>
            <w:tcW w:w="338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±2.5mm</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p>
        </w:tc>
        <w:tc>
          <w:tcPr>
            <w:tcW w:w="17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平整度</w:t>
            </w:r>
          </w:p>
        </w:tc>
        <w:tc>
          <w:tcPr>
            <w:tcW w:w="2663"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≤2000</w:t>
            </w:r>
          </w:p>
        </w:tc>
        <w:tc>
          <w:tcPr>
            <w:tcW w:w="338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0.5mm</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p>
        </w:tc>
        <w:tc>
          <w:tcPr>
            <w:tcW w:w="17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rPr>
                <w:rFonts w:ascii="宋体" w:hAnsi="宋体"/>
                <w:szCs w:val="21"/>
              </w:rPr>
            </w:pPr>
          </w:p>
        </w:tc>
        <w:tc>
          <w:tcPr>
            <w:tcW w:w="2663" w:type="dxa"/>
            <w:gridSpan w:val="6"/>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＞2000</w:t>
            </w:r>
          </w:p>
        </w:tc>
        <w:tc>
          <w:tcPr>
            <w:tcW w:w="338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＜1.5mm</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外观</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保护膜完好，无变形、压伤、碰伤、擦伤等不良现象</w:t>
            </w:r>
          </w:p>
        </w:tc>
      </w:tr>
      <w:tr>
        <w:tblPrEx>
          <w:tblCellMar>
            <w:top w:w="0" w:type="dxa"/>
            <w:left w:w="108" w:type="dxa"/>
            <w:bottom w:w="0" w:type="dxa"/>
            <w:right w:w="108" w:type="dxa"/>
          </w:tblCellMar>
        </w:tblPrEx>
        <w:trPr>
          <w:trHeight w:val="285" w:hRule="atLeast"/>
        </w:trPr>
        <w:tc>
          <w:tcPr>
            <w:tcW w:w="8647" w:type="dxa"/>
            <w:gridSpan w:val="14"/>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r>
              <w:rPr>
                <w:rFonts w:ascii="宋体" w:hAnsi="宋体"/>
                <w:b/>
                <w:szCs w:val="21"/>
              </w:rPr>
              <w:t xml:space="preserve">  2.0 数冲标准：</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258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r>
              <w:rPr>
                <w:rFonts w:ascii="宋体" w:hAnsi="宋体"/>
                <w:b/>
                <w:szCs w:val="21"/>
              </w:rPr>
              <w:t>项目</w:t>
            </w:r>
          </w:p>
        </w:tc>
        <w:tc>
          <w:tcPr>
            <w:tcW w:w="117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r>
              <w:rPr>
                <w:rFonts w:ascii="宋体" w:hAnsi="宋体"/>
                <w:b/>
                <w:szCs w:val="21"/>
              </w:rPr>
              <w:t>允许公差</w:t>
            </w:r>
          </w:p>
        </w:tc>
        <w:tc>
          <w:tcPr>
            <w:tcW w:w="404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r>
              <w:rPr>
                <w:rFonts w:ascii="宋体" w:hAnsi="宋体"/>
                <w:b/>
                <w:szCs w:val="21"/>
              </w:rPr>
              <w:t>外   观</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258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普通冲制</w:t>
            </w:r>
          </w:p>
        </w:tc>
        <w:tc>
          <w:tcPr>
            <w:tcW w:w="117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±0.5</w:t>
            </w:r>
          </w:p>
        </w:tc>
        <w:tc>
          <w:tcPr>
            <w:tcW w:w="404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无变形、明显披锋、带料</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258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冲排孔孔间距</w:t>
            </w:r>
          </w:p>
        </w:tc>
        <w:tc>
          <w:tcPr>
            <w:tcW w:w="117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±0.3</w:t>
            </w:r>
          </w:p>
        </w:tc>
        <w:tc>
          <w:tcPr>
            <w:tcW w:w="404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分布均匀、整齐，无明显变形和披锋</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铣花</w:t>
            </w:r>
          </w:p>
        </w:tc>
        <w:tc>
          <w:tcPr>
            <w:tcW w:w="173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铣穿</w:t>
            </w:r>
          </w:p>
        </w:tc>
        <w:tc>
          <w:tcPr>
            <w:tcW w:w="117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±0.5</w:t>
            </w:r>
          </w:p>
        </w:tc>
        <w:tc>
          <w:tcPr>
            <w:tcW w:w="404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平整、光滑无变形、明显披锋</w:t>
            </w:r>
          </w:p>
        </w:tc>
      </w:tr>
      <w:tr>
        <w:tblPrEx>
          <w:tblCellMar>
            <w:top w:w="0" w:type="dxa"/>
            <w:left w:w="108" w:type="dxa"/>
            <w:bottom w:w="0" w:type="dxa"/>
            <w:right w:w="108" w:type="dxa"/>
          </w:tblCellMar>
        </w:tblPrEx>
        <w:trPr>
          <w:trHeight w:val="313"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rPr>
                <w:rFonts w:ascii="宋体" w:hAnsi="宋体"/>
                <w:szCs w:val="21"/>
              </w:rPr>
            </w:pPr>
          </w:p>
        </w:tc>
        <w:tc>
          <w:tcPr>
            <w:tcW w:w="173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不铣穿</w:t>
            </w:r>
          </w:p>
        </w:tc>
        <w:tc>
          <w:tcPr>
            <w:tcW w:w="117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T×60%±0.3</w:t>
            </w:r>
          </w:p>
        </w:tc>
        <w:tc>
          <w:tcPr>
            <w:tcW w:w="404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底部无穿孔、凸起</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p>
        </w:tc>
        <w:tc>
          <w:tcPr>
            <w:tcW w:w="84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rPr>
                <w:rFonts w:ascii="宋体" w:hAnsi="宋体"/>
                <w:szCs w:val="21"/>
              </w:rPr>
            </w:pPr>
          </w:p>
        </w:tc>
        <w:tc>
          <w:tcPr>
            <w:tcW w:w="173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R角</w:t>
            </w:r>
          </w:p>
        </w:tc>
        <w:tc>
          <w:tcPr>
            <w:tcW w:w="117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404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连接部位无明显错位</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2582"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铣槽(按T×40%）深度</w:t>
            </w:r>
          </w:p>
        </w:tc>
        <w:tc>
          <w:tcPr>
            <w:tcW w:w="117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－0.3</w:t>
            </w:r>
          </w:p>
        </w:tc>
        <w:tc>
          <w:tcPr>
            <w:tcW w:w="4044" w:type="dxa"/>
            <w:gridSpan w:val="5"/>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深浅适中，无变形、披锋、铣穿</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p>
        </w:tc>
        <w:tc>
          <w:tcPr>
            <w:tcW w:w="1096" w:type="dxa"/>
            <w:gridSpan w:val="2"/>
            <w:vMerge w:val="restart"/>
            <w:tcBorders>
              <w:top w:val="single" w:color="000000" w:sz="4" w:space="0"/>
              <w:left w:val="single" w:color="000000" w:sz="4" w:space="0"/>
              <w:bottom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平整度</w:t>
            </w:r>
          </w:p>
        </w:tc>
        <w:tc>
          <w:tcPr>
            <w:tcW w:w="1486" w:type="dxa"/>
            <w:gridSpan w:val="3"/>
            <w:tcBorders>
              <w:top w:val="single" w:color="000000" w:sz="4" w:space="0"/>
              <w:left w:val="single" w:color="000000" w:sz="4" w:space="0"/>
              <w:bottom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≤2000</w:t>
            </w:r>
          </w:p>
        </w:tc>
        <w:tc>
          <w:tcPr>
            <w:tcW w:w="117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0.5mm</w:t>
            </w:r>
          </w:p>
        </w:tc>
        <w:tc>
          <w:tcPr>
            <w:tcW w:w="4044"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目视无明显变形</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p>
        </w:tc>
        <w:tc>
          <w:tcPr>
            <w:tcW w:w="1096" w:type="dxa"/>
            <w:gridSpan w:val="2"/>
            <w:vMerge w:val="continue"/>
            <w:tcBorders>
              <w:top w:val="single" w:color="000000" w:sz="4" w:space="0"/>
              <w:left w:val="single" w:color="000000" w:sz="4" w:space="0"/>
              <w:bottom w:val="single" w:color="000000" w:sz="4" w:space="0"/>
            </w:tcBorders>
            <w:noWrap w:val="0"/>
            <w:vAlign w:val="center"/>
          </w:tcPr>
          <w:p>
            <w:pPr>
              <w:adjustRightInd w:val="0"/>
              <w:snapToGrid w:val="0"/>
              <w:spacing w:line="300" w:lineRule="auto"/>
              <w:rPr>
                <w:rFonts w:ascii="宋体" w:hAnsi="宋体"/>
                <w:szCs w:val="21"/>
              </w:rPr>
            </w:pPr>
          </w:p>
        </w:tc>
        <w:tc>
          <w:tcPr>
            <w:tcW w:w="1486" w:type="dxa"/>
            <w:gridSpan w:val="3"/>
            <w:tcBorders>
              <w:top w:val="single" w:color="000000" w:sz="4" w:space="0"/>
              <w:left w:val="single" w:color="000000" w:sz="4" w:space="0"/>
              <w:bottom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＞2000</w:t>
            </w:r>
          </w:p>
        </w:tc>
        <w:tc>
          <w:tcPr>
            <w:tcW w:w="117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＜1.5mm</w:t>
            </w:r>
          </w:p>
        </w:tc>
        <w:tc>
          <w:tcPr>
            <w:tcW w:w="4044"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rPr>
                <w:rFonts w:ascii="宋体" w:hAnsi="宋体"/>
                <w:szCs w:val="21"/>
              </w:rPr>
            </w:pP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109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形状</w:t>
            </w:r>
          </w:p>
        </w:tc>
        <w:tc>
          <w:tcPr>
            <w:tcW w:w="6703" w:type="dxa"/>
            <w:gridSpan w:val="11"/>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符合图纸要求</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7799" w:type="dxa"/>
            <w:gridSpan w:val="13"/>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注：T=板材厚度</w:t>
            </w:r>
          </w:p>
        </w:tc>
      </w:tr>
      <w:tr>
        <w:tblPrEx>
          <w:tblCellMar>
            <w:top w:w="0" w:type="dxa"/>
            <w:left w:w="108" w:type="dxa"/>
            <w:bottom w:w="0" w:type="dxa"/>
            <w:right w:w="108" w:type="dxa"/>
          </w:tblCellMar>
        </w:tblPrEx>
        <w:trPr>
          <w:trHeight w:val="285" w:hRule="atLeast"/>
        </w:trPr>
        <w:tc>
          <w:tcPr>
            <w:tcW w:w="8647" w:type="dxa"/>
            <w:gridSpan w:val="14"/>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r>
              <w:rPr>
                <w:rFonts w:ascii="宋体" w:hAnsi="宋体"/>
                <w:b/>
                <w:szCs w:val="21"/>
              </w:rPr>
              <w:t xml:space="preserve">  3.0 成型标准：</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r>
              <w:rPr>
                <w:rFonts w:ascii="宋体" w:hAnsi="宋体"/>
                <w:b/>
                <w:szCs w:val="21"/>
              </w:rPr>
              <w:t>项目</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r>
              <w:rPr>
                <w:rFonts w:ascii="宋体" w:hAnsi="宋体"/>
                <w:b/>
                <w:szCs w:val="21"/>
              </w:rPr>
              <w:t>标 准 要 求</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总长度</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±1</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折弯尺寸</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±0.5</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角度</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±0.5</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滚弧弧度</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以检测板为准</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p>
        </w:tc>
        <w:tc>
          <w:tcPr>
            <w:tcW w:w="84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平整度</w:t>
            </w:r>
          </w:p>
        </w:tc>
        <w:tc>
          <w:tcPr>
            <w:tcW w:w="116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≤2000</w:t>
            </w:r>
          </w:p>
        </w:tc>
        <w:tc>
          <w:tcPr>
            <w:tcW w:w="5790" w:type="dxa"/>
            <w:gridSpan w:val="9"/>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＜1.0mm，目视无明显变形</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p>
        </w:tc>
        <w:tc>
          <w:tcPr>
            <w:tcW w:w="84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rPr>
                <w:rFonts w:ascii="宋体" w:hAnsi="宋体"/>
                <w:szCs w:val="21"/>
              </w:rPr>
            </w:pPr>
          </w:p>
        </w:tc>
        <w:tc>
          <w:tcPr>
            <w:tcW w:w="116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＞2000</w:t>
            </w:r>
          </w:p>
        </w:tc>
        <w:tc>
          <w:tcPr>
            <w:tcW w:w="5790" w:type="dxa"/>
            <w:gridSpan w:val="9"/>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＜1.5mm，目视无明显变形</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方向</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符合图纸要求</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外观</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无明显压印、变形、披锋、裂纹，折边R角不大于R5</w:t>
            </w:r>
          </w:p>
        </w:tc>
      </w:tr>
      <w:tr>
        <w:tblPrEx>
          <w:tblCellMar>
            <w:top w:w="0" w:type="dxa"/>
            <w:left w:w="108" w:type="dxa"/>
            <w:bottom w:w="0" w:type="dxa"/>
            <w:right w:w="108" w:type="dxa"/>
          </w:tblCellMar>
        </w:tblPrEx>
        <w:trPr>
          <w:trHeight w:val="285" w:hRule="atLeast"/>
        </w:trPr>
        <w:tc>
          <w:tcPr>
            <w:tcW w:w="8647" w:type="dxa"/>
            <w:gridSpan w:val="14"/>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r>
              <w:rPr>
                <w:rFonts w:ascii="宋体" w:hAnsi="宋体"/>
                <w:b/>
                <w:szCs w:val="21"/>
              </w:rPr>
              <w:t>4.0 焊接标准：</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r>
              <w:rPr>
                <w:rFonts w:ascii="宋体" w:hAnsi="宋体"/>
                <w:b/>
                <w:szCs w:val="21"/>
              </w:rPr>
              <w:t>项目</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r>
              <w:rPr>
                <w:rFonts w:ascii="宋体" w:hAnsi="宋体"/>
                <w:b/>
                <w:szCs w:val="21"/>
              </w:rPr>
              <w:t>标  准  要  求</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尺寸形状</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符合图纸要求，连接部位角度达到工艺要求</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焊接</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焊接位置按图纸要求，焊接处饱满，焊角高≤4mm</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p>
        </w:tc>
        <w:tc>
          <w:tcPr>
            <w:tcW w:w="84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平整度</w:t>
            </w:r>
          </w:p>
        </w:tc>
        <w:tc>
          <w:tcPr>
            <w:tcW w:w="9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≤2000</w:t>
            </w:r>
          </w:p>
        </w:tc>
        <w:tc>
          <w:tcPr>
            <w:tcW w:w="6044" w:type="dxa"/>
            <w:gridSpan w:val="10"/>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＜0.5mm，目视无明显变形</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p>
        </w:tc>
        <w:tc>
          <w:tcPr>
            <w:tcW w:w="84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rPr>
                <w:rFonts w:ascii="宋体" w:hAnsi="宋体"/>
                <w:szCs w:val="21"/>
              </w:rPr>
            </w:pPr>
          </w:p>
        </w:tc>
        <w:tc>
          <w:tcPr>
            <w:tcW w:w="9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＞2000</w:t>
            </w:r>
          </w:p>
        </w:tc>
        <w:tc>
          <w:tcPr>
            <w:tcW w:w="6044" w:type="dxa"/>
            <w:gridSpan w:val="10"/>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＜1.5mm，目视无明显变形</w:t>
            </w:r>
          </w:p>
        </w:tc>
      </w:tr>
      <w:tr>
        <w:tblPrEx>
          <w:tblCellMar>
            <w:top w:w="0" w:type="dxa"/>
            <w:left w:w="108" w:type="dxa"/>
            <w:bottom w:w="0" w:type="dxa"/>
            <w:right w:w="108" w:type="dxa"/>
          </w:tblCellMar>
        </w:tblPrEx>
        <w:trPr>
          <w:trHeight w:val="570"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外观</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板材连接无明显内缩或外张现象。无变形、少焊、多焊、漏焊、缺焊、焊缝、沙眼、焊接错位等不良现象</w:t>
            </w:r>
          </w:p>
        </w:tc>
      </w:tr>
      <w:tr>
        <w:tblPrEx>
          <w:tblCellMar>
            <w:top w:w="0" w:type="dxa"/>
            <w:left w:w="108" w:type="dxa"/>
            <w:bottom w:w="0" w:type="dxa"/>
            <w:right w:w="108" w:type="dxa"/>
          </w:tblCellMar>
        </w:tblPrEx>
        <w:trPr>
          <w:trHeight w:val="285" w:hRule="atLeast"/>
        </w:trPr>
        <w:tc>
          <w:tcPr>
            <w:tcW w:w="4300" w:type="dxa"/>
            <w:gridSpan w:val="8"/>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r>
              <w:rPr>
                <w:rFonts w:ascii="宋体" w:hAnsi="宋体"/>
                <w:b/>
                <w:szCs w:val="21"/>
              </w:rPr>
              <w:t>5.0 打磨标准：</w:t>
            </w:r>
          </w:p>
        </w:tc>
        <w:tc>
          <w:tcPr>
            <w:tcW w:w="966" w:type="dxa"/>
            <w:gridSpan w:val="2"/>
            <w:noWrap w:val="0"/>
            <w:vAlign w:val="center"/>
          </w:tcPr>
          <w:p>
            <w:pPr>
              <w:autoSpaceDN w:val="0"/>
              <w:adjustRightInd w:val="0"/>
              <w:snapToGrid w:val="0"/>
              <w:spacing w:line="300" w:lineRule="auto"/>
              <w:jc w:val="left"/>
              <w:textAlignment w:val="center"/>
              <w:rPr>
                <w:rFonts w:ascii="宋体" w:hAnsi="宋体"/>
                <w:szCs w:val="21"/>
              </w:rPr>
            </w:pPr>
          </w:p>
        </w:tc>
        <w:tc>
          <w:tcPr>
            <w:tcW w:w="789" w:type="dxa"/>
            <w:noWrap w:val="0"/>
            <w:vAlign w:val="center"/>
          </w:tcPr>
          <w:p>
            <w:pPr>
              <w:autoSpaceDN w:val="0"/>
              <w:adjustRightInd w:val="0"/>
              <w:snapToGrid w:val="0"/>
              <w:spacing w:line="300" w:lineRule="auto"/>
              <w:jc w:val="left"/>
              <w:textAlignment w:val="center"/>
              <w:rPr>
                <w:rFonts w:ascii="宋体" w:hAnsi="宋体"/>
                <w:szCs w:val="21"/>
              </w:rPr>
            </w:pPr>
          </w:p>
        </w:tc>
        <w:tc>
          <w:tcPr>
            <w:tcW w:w="848" w:type="dxa"/>
            <w:noWrap w:val="0"/>
            <w:vAlign w:val="center"/>
          </w:tcPr>
          <w:p>
            <w:pPr>
              <w:autoSpaceDN w:val="0"/>
              <w:adjustRightInd w:val="0"/>
              <w:snapToGrid w:val="0"/>
              <w:spacing w:line="300" w:lineRule="auto"/>
              <w:jc w:val="left"/>
              <w:textAlignment w:val="center"/>
              <w:rPr>
                <w:rFonts w:ascii="宋体" w:hAnsi="宋体"/>
                <w:szCs w:val="21"/>
              </w:rPr>
            </w:pPr>
          </w:p>
        </w:tc>
        <w:tc>
          <w:tcPr>
            <w:tcW w:w="848" w:type="dxa"/>
            <w:noWrap w:val="0"/>
            <w:vAlign w:val="center"/>
          </w:tcPr>
          <w:p>
            <w:pPr>
              <w:autoSpaceDN w:val="0"/>
              <w:adjustRightInd w:val="0"/>
              <w:snapToGrid w:val="0"/>
              <w:spacing w:line="300" w:lineRule="auto"/>
              <w:jc w:val="left"/>
              <w:textAlignment w:val="center"/>
              <w:rPr>
                <w:rFonts w:ascii="宋体" w:hAnsi="宋体"/>
                <w:szCs w:val="21"/>
              </w:rPr>
            </w:pPr>
          </w:p>
        </w:tc>
        <w:tc>
          <w:tcPr>
            <w:tcW w:w="896" w:type="dxa"/>
            <w:noWrap w:val="0"/>
            <w:vAlign w:val="center"/>
          </w:tcPr>
          <w:p>
            <w:pPr>
              <w:autoSpaceDN w:val="0"/>
              <w:adjustRightInd w:val="0"/>
              <w:snapToGrid w:val="0"/>
              <w:spacing w:line="300" w:lineRule="auto"/>
              <w:jc w:val="left"/>
              <w:textAlignment w:val="center"/>
              <w:rPr>
                <w:rFonts w:ascii="宋体" w:hAnsi="宋体"/>
                <w:szCs w:val="21"/>
              </w:rPr>
            </w:pP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175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r>
              <w:rPr>
                <w:rFonts w:ascii="宋体" w:hAnsi="宋体"/>
                <w:b/>
                <w:szCs w:val="21"/>
              </w:rPr>
              <w:t>项 目</w:t>
            </w:r>
          </w:p>
        </w:tc>
        <w:tc>
          <w:tcPr>
            <w:tcW w:w="6044"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r>
              <w:rPr>
                <w:rFonts w:ascii="宋体" w:hAnsi="宋体"/>
                <w:b/>
                <w:szCs w:val="21"/>
              </w:rPr>
              <w:t>标   准   要   求</w:t>
            </w:r>
          </w:p>
        </w:tc>
      </w:tr>
      <w:tr>
        <w:tblPrEx>
          <w:tblCellMar>
            <w:top w:w="0" w:type="dxa"/>
            <w:left w:w="108" w:type="dxa"/>
            <w:bottom w:w="0" w:type="dxa"/>
            <w:right w:w="108" w:type="dxa"/>
          </w:tblCellMar>
        </w:tblPrEx>
        <w:trPr>
          <w:trHeight w:val="600"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焊点</w:t>
            </w:r>
          </w:p>
        </w:tc>
        <w:tc>
          <w:tcPr>
            <w:tcW w:w="9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装饰面</w:t>
            </w:r>
          </w:p>
        </w:tc>
        <w:tc>
          <w:tcPr>
            <w:tcW w:w="6044"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必须用180目以上磨片。打磨应光滑细腻,不允许有目测很明显的打磨印痕、沙眼、缺焊等现象，接边处必须与板面平行，不能有错位现象</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rPr>
                <w:rFonts w:ascii="宋体" w:hAnsi="宋体"/>
                <w:szCs w:val="21"/>
              </w:rPr>
            </w:pPr>
          </w:p>
        </w:tc>
        <w:tc>
          <w:tcPr>
            <w:tcW w:w="9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非装饰面</w:t>
            </w:r>
          </w:p>
        </w:tc>
        <w:tc>
          <w:tcPr>
            <w:tcW w:w="6044"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焊接处打磨平滑，无毛刺等任何刮手的迹象。</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p>
        </w:tc>
        <w:tc>
          <w:tcPr>
            <w:tcW w:w="84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平整度</w:t>
            </w:r>
          </w:p>
        </w:tc>
        <w:tc>
          <w:tcPr>
            <w:tcW w:w="9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≤2000</w:t>
            </w:r>
          </w:p>
        </w:tc>
        <w:tc>
          <w:tcPr>
            <w:tcW w:w="6044" w:type="dxa"/>
            <w:gridSpan w:val="10"/>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＜0.5mm，目视无明显变形</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p>
        </w:tc>
        <w:tc>
          <w:tcPr>
            <w:tcW w:w="84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rPr>
                <w:rFonts w:ascii="宋体" w:hAnsi="宋体"/>
                <w:szCs w:val="21"/>
              </w:rPr>
            </w:pPr>
          </w:p>
        </w:tc>
        <w:tc>
          <w:tcPr>
            <w:tcW w:w="9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＞2000</w:t>
            </w:r>
          </w:p>
        </w:tc>
        <w:tc>
          <w:tcPr>
            <w:tcW w:w="6044" w:type="dxa"/>
            <w:gridSpan w:val="10"/>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＜1.5mm，目视无明显变形</w:t>
            </w:r>
          </w:p>
        </w:tc>
      </w:tr>
      <w:tr>
        <w:tblPrEx>
          <w:tblCellMar>
            <w:top w:w="0" w:type="dxa"/>
            <w:left w:w="108" w:type="dxa"/>
            <w:bottom w:w="0" w:type="dxa"/>
            <w:right w:w="108" w:type="dxa"/>
          </w:tblCellMar>
        </w:tblPrEx>
        <w:trPr>
          <w:trHeight w:val="570"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175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板面</w:t>
            </w:r>
          </w:p>
        </w:tc>
        <w:tc>
          <w:tcPr>
            <w:tcW w:w="6044"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用180目磨片。打磨应光滑细腻,不允许有目测很明显的打磨印痕、笔印、划伤，碰伤，压伤等现象，接边处必须与板面平行，不能有错位现象</w:t>
            </w:r>
          </w:p>
        </w:tc>
      </w:tr>
      <w:tr>
        <w:tblPrEx>
          <w:tblCellMar>
            <w:top w:w="0" w:type="dxa"/>
            <w:left w:w="108" w:type="dxa"/>
            <w:bottom w:w="0" w:type="dxa"/>
            <w:right w:w="108" w:type="dxa"/>
          </w:tblCellMar>
        </w:tblPrEx>
        <w:trPr>
          <w:trHeight w:val="285" w:hRule="atLeast"/>
        </w:trPr>
        <w:tc>
          <w:tcPr>
            <w:tcW w:w="3451" w:type="dxa"/>
            <w:gridSpan w:val="7"/>
            <w:noWrap w:val="0"/>
            <w:vAlign w:val="center"/>
          </w:tcPr>
          <w:p>
            <w:pPr>
              <w:autoSpaceDN w:val="0"/>
              <w:adjustRightInd w:val="0"/>
              <w:snapToGrid w:val="0"/>
              <w:spacing w:line="300" w:lineRule="auto"/>
              <w:jc w:val="left"/>
              <w:textAlignment w:val="center"/>
              <w:rPr>
                <w:rFonts w:ascii="宋体" w:hAnsi="宋体"/>
                <w:b/>
                <w:szCs w:val="21"/>
              </w:rPr>
            </w:pPr>
            <w:r>
              <w:rPr>
                <w:rFonts w:ascii="宋体" w:hAnsi="宋体"/>
                <w:b/>
                <w:szCs w:val="21"/>
              </w:rPr>
              <w:t>6.0 钣金终检标准：</w:t>
            </w:r>
          </w:p>
        </w:tc>
        <w:tc>
          <w:tcPr>
            <w:tcW w:w="849" w:type="dxa"/>
            <w:noWrap w:val="0"/>
            <w:vAlign w:val="center"/>
          </w:tcPr>
          <w:p>
            <w:pPr>
              <w:autoSpaceDN w:val="0"/>
              <w:adjustRightInd w:val="0"/>
              <w:snapToGrid w:val="0"/>
              <w:spacing w:line="300" w:lineRule="auto"/>
              <w:jc w:val="left"/>
              <w:textAlignment w:val="center"/>
              <w:rPr>
                <w:rFonts w:ascii="宋体" w:hAnsi="宋体"/>
                <w:b/>
                <w:szCs w:val="21"/>
              </w:rPr>
            </w:pPr>
          </w:p>
        </w:tc>
        <w:tc>
          <w:tcPr>
            <w:tcW w:w="966" w:type="dxa"/>
            <w:gridSpan w:val="2"/>
            <w:noWrap w:val="0"/>
            <w:vAlign w:val="center"/>
          </w:tcPr>
          <w:p>
            <w:pPr>
              <w:autoSpaceDN w:val="0"/>
              <w:adjustRightInd w:val="0"/>
              <w:snapToGrid w:val="0"/>
              <w:spacing w:line="300" w:lineRule="auto"/>
              <w:jc w:val="left"/>
              <w:textAlignment w:val="center"/>
              <w:rPr>
                <w:rFonts w:ascii="宋体" w:hAnsi="宋体"/>
                <w:b/>
                <w:szCs w:val="21"/>
              </w:rPr>
            </w:pPr>
          </w:p>
        </w:tc>
        <w:tc>
          <w:tcPr>
            <w:tcW w:w="789" w:type="dxa"/>
            <w:noWrap w:val="0"/>
            <w:vAlign w:val="center"/>
          </w:tcPr>
          <w:p>
            <w:pPr>
              <w:autoSpaceDN w:val="0"/>
              <w:adjustRightInd w:val="0"/>
              <w:snapToGrid w:val="0"/>
              <w:spacing w:line="300" w:lineRule="auto"/>
              <w:jc w:val="left"/>
              <w:textAlignment w:val="center"/>
              <w:rPr>
                <w:rFonts w:ascii="宋体" w:hAnsi="宋体"/>
                <w:b/>
                <w:szCs w:val="21"/>
              </w:rPr>
            </w:pPr>
          </w:p>
        </w:tc>
        <w:tc>
          <w:tcPr>
            <w:tcW w:w="848" w:type="dxa"/>
            <w:noWrap w:val="0"/>
            <w:vAlign w:val="center"/>
          </w:tcPr>
          <w:p>
            <w:pPr>
              <w:autoSpaceDN w:val="0"/>
              <w:adjustRightInd w:val="0"/>
              <w:snapToGrid w:val="0"/>
              <w:spacing w:line="300" w:lineRule="auto"/>
              <w:jc w:val="left"/>
              <w:textAlignment w:val="center"/>
              <w:rPr>
                <w:rFonts w:ascii="宋体" w:hAnsi="宋体"/>
                <w:b/>
                <w:szCs w:val="21"/>
              </w:rPr>
            </w:pPr>
          </w:p>
        </w:tc>
        <w:tc>
          <w:tcPr>
            <w:tcW w:w="848" w:type="dxa"/>
            <w:noWrap w:val="0"/>
            <w:vAlign w:val="center"/>
          </w:tcPr>
          <w:p>
            <w:pPr>
              <w:autoSpaceDN w:val="0"/>
              <w:adjustRightInd w:val="0"/>
              <w:snapToGrid w:val="0"/>
              <w:spacing w:line="300" w:lineRule="auto"/>
              <w:jc w:val="left"/>
              <w:textAlignment w:val="center"/>
              <w:rPr>
                <w:rFonts w:ascii="宋体" w:hAnsi="宋体"/>
                <w:b/>
                <w:szCs w:val="21"/>
              </w:rPr>
            </w:pPr>
          </w:p>
        </w:tc>
        <w:tc>
          <w:tcPr>
            <w:tcW w:w="896" w:type="dxa"/>
            <w:noWrap w:val="0"/>
            <w:vAlign w:val="center"/>
          </w:tcPr>
          <w:p>
            <w:pPr>
              <w:autoSpaceDN w:val="0"/>
              <w:adjustRightInd w:val="0"/>
              <w:snapToGrid w:val="0"/>
              <w:spacing w:line="300" w:lineRule="auto"/>
              <w:jc w:val="left"/>
              <w:textAlignment w:val="center"/>
              <w:rPr>
                <w:rFonts w:ascii="宋体" w:hAnsi="宋体"/>
                <w:b/>
                <w:szCs w:val="21"/>
              </w:rPr>
            </w:pP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项目</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标   准   要   求</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尺寸</w:t>
            </w:r>
          </w:p>
        </w:tc>
        <w:tc>
          <w:tcPr>
            <w:tcW w:w="6951" w:type="dxa"/>
            <w:gridSpan w:val="12"/>
            <w:tcBorders>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完全符合图纸要求</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方向</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与图纸要求一致（特别要注意此项）</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角码铝</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角码铝高公差±1.0mm，角码铝与角码铝间距按300mm均布，角码铝规格按图纸要求</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加筋</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厚3.0铝板按500mm间距加筋，板厚小于3.0mm铝板按400mm间距加筋,间距偏差±5mm</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p>
        </w:tc>
        <w:tc>
          <w:tcPr>
            <w:tcW w:w="84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平整度</w:t>
            </w:r>
          </w:p>
        </w:tc>
        <w:tc>
          <w:tcPr>
            <w:tcW w:w="9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≤2000</w:t>
            </w:r>
          </w:p>
        </w:tc>
        <w:tc>
          <w:tcPr>
            <w:tcW w:w="6044" w:type="dxa"/>
            <w:gridSpan w:val="10"/>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＜0.5mm，目视无明显变形</w:t>
            </w:r>
          </w:p>
        </w:tc>
      </w:tr>
      <w:tr>
        <w:tblPrEx>
          <w:tblCellMar>
            <w:top w:w="0" w:type="dxa"/>
            <w:left w:w="108" w:type="dxa"/>
            <w:bottom w:w="0" w:type="dxa"/>
            <w:right w:w="108" w:type="dxa"/>
          </w:tblCellMar>
        </w:tblPrEx>
        <w:trPr>
          <w:trHeight w:val="285"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b/>
                <w:szCs w:val="21"/>
              </w:rPr>
            </w:pPr>
          </w:p>
        </w:tc>
        <w:tc>
          <w:tcPr>
            <w:tcW w:w="848"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auto"/>
              <w:rPr>
                <w:rFonts w:ascii="宋体" w:hAnsi="宋体"/>
                <w:szCs w:val="21"/>
              </w:rPr>
            </w:pPr>
          </w:p>
        </w:tc>
        <w:tc>
          <w:tcPr>
            <w:tcW w:w="9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＞2000</w:t>
            </w:r>
          </w:p>
        </w:tc>
        <w:tc>
          <w:tcPr>
            <w:tcW w:w="6044" w:type="dxa"/>
            <w:gridSpan w:val="10"/>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＜1.5mm，目视无明显变形</w:t>
            </w:r>
          </w:p>
        </w:tc>
      </w:tr>
      <w:tr>
        <w:tblPrEx>
          <w:tblCellMar>
            <w:top w:w="0" w:type="dxa"/>
            <w:left w:w="108" w:type="dxa"/>
            <w:bottom w:w="0" w:type="dxa"/>
            <w:right w:w="108" w:type="dxa"/>
          </w:tblCellMar>
        </w:tblPrEx>
        <w:trPr>
          <w:trHeight w:val="570" w:hRule="atLeast"/>
        </w:trPr>
        <w:tc>
          <w:tcPr>
            <w:tcW w:w="848" w:type="dxa"/>
            <w:tcBorders>
              <w:left w:val="single" w:color="000000" w:sz="8" w:space="0"/>
            </w:tcBorders>
            <w:noWrap w:val="0"/>
            <w:vAlign w:val="center"/>
          </w:tcPr>
          <w:p>
            <w:pPr>
              <w:autoSpaceDN w:val="0"/>
              <w:adjustRightInd w:val="0"/>
              <w:snapToGrid w:val="0"/>
              <w:spacing w:line="300" w:lineRule="auto"/>
              <w:jc w:val="left"/>
              <w:textAlignment w:val="center"/>
              <w:rPr>
                <w:rFonts w:ascii="宋体" w:hAnsi="宋体"/>
                <w:szCs w:val="21"/>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外观</w:t>
            </w:r>
          </w:p>
        </w:tc>
        <w:tc>
          <w:tcPr>
            <w:tcW w:w="6951" w:type="dxa"/>
            <w:gridSpan w:val="1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焊点打磨平滑与板面衔接处必须和板平行不能有错位现象，板面打磨光滑细腻,无目测明显的打磨印痕、笔印、划伤，碰伤，压伤、擦伤等现象</w:t>
            </w:r>
          </w:p>
        </w:tc>
      </w:tr>
    </w:tbl>
    <w:p>
      <w:pPr>
        <w:adjustRightInd w:val="0"/>
        <w:snapToGrid w:val="0"/>
        <w:spacing w:line="300" w:lineRule="auto"/>
        <w:rPr>
          <w:rFonts w:ascii="宋体" w:hAnsi="宋体"/>
          <w:szCs w:val="21"/>
        </w:rPr>
      </w:pPr>
    </w:p>
    <w:p>
      <w:pPr>
        <w:adjustRightInd w:val="0"/>
        <w:snapToGrid w:val="0"/>
        <w:spacing w:line="300" w:lineRule="auto"/>
        <w:rPr>
          <w:rFonts w:hint="eastAsia"/>
          <w:sz w:val="28"/>
          <w:lang w:eastAsia="zh-CN"/>
        </w:rPr>
      </w:pPr>
    </w:p>
    <w:p>
      <w:pPr>
        <w:adjustRightInd w:val="0"/>
        <w:snapToGrid w:val="0"/>
        <w:spacing w:line="300" w:lineRule="auto"/>
        <w:rPr>
          <w:rFonts w:hint="eastAsia"/>
          <w:sz w:val="28"/>
          <w:lang w:eastAsia="zh-CN"/>
        </w:rPr>
      </w:pPr>
    </w:p>
    <w:p>
      <w:pPr>
        <w:adjustRightInd w:val="0"/>
        <w:snapToGrid w:val="0"/>
        <w:spacing w:line="300" w:lineRule="auto"/>
        <w:rPr>
          <w:rFonts w:hint="eastAsia"/>
          <w:sz w:val="28"/>
          <w:lang w:eastAsia="zh-CN"/>
        </w:rPr>
      </w:pPr>
    </w:p>
    <w:p>
      <w:pPr>
        <w:adjustRightInd w:val="0"/>
        <w:snapToGrid w:val="0"/>
        <w:spacing w:line="300" w:lineRule="auto"/>
        <w:rPr>
          <w:rFonts w:hint="eastAsia"/>
          <w:sz w:val="28"/>
          <w:lang w:eastAsia="zh-CN"/>
        </w:rPr>
      </w:pPr>
    </w:p>
    <w:p>
      <w:pPr>
        <w:adjustRightInd w:val="0"/>
        <w:snapToGrid w:val="0"/>
        <w:spacing w:line="300" w:lineRule="auto"/>
        <w:rPr>
          <w:rFonts w:hint="eastAsia"/>
          <w:sz w:val="28"/>
          <w:lang w:eastAsia="zh-CN"/>
        </w:rPr>
      </w:pPr>
    </w:p>
    <w:p>
      <w:pPr>
        <w:adjustRightInd w:val="0"/>
        <w:snapToGrid w:val="0"/>
        <w:spacing w:line="300" w:lineRule="auto"/>
        <w:rPr>
          <w:rFonts w:hint="eastAsia"/>
          <w:sz w:val="28"/>
          <w:lang w:eastAsia="zh-CN"/>
        </w:rPr>
      </w:pPr>
    </w:p>
    <w:p>
      <w:pPr>
        <w:adjustRightInd w:val="0"/>
        <w:snapToGrid w:val="0"/>
        <w:spacing w:line="300" w:lineRule="auto"/>
        <w:rPr>
          <w:rFonts w:hint="eastAsia"/>
          <w:sz w:val="28"/>
          <w:lang w:eastAsia="zh-CN"/>
        </w:rPr>
      </w:pPr>
    </w:p>
    <w:p>
      <w:pPr>
        <w:adjustRightInd w:val="0"/>
        <w:snapToGrid w:val="0"/>
        <w:spacing w:line="300" w:lineRule="auto"/>
        <w:rPr>
          <w:rFonts w:hint="eastAsia"/>
          <w:sz w:val="28"/>
          <w:lang w:eastAsia="zh-CN"/>
        </w:rPr>
      </w:pPr>
    </w:p>
    <w:p>
      <w:pPr>
        <w:adjustRightInd w:val="0"/>
        <w:snapToGrid w:val="0"/>
        <w:spacing w:line="300" w:lineRule="auto"/>
        <w:rPr>
          <w:rFonts w:hint="eastAsia"/>
          <w:sz w:val="28"/>
          <w:lang w:eastAsia="zh-CN"/>
        </w:rPr>
      </w:pPr>
    </w:p>
    <w:p>
      <w:pPr>
        <w:adjustRightInd w:val="0"/>
        <w:snapToGrid w:val="0"/>
        <w:spacing w:line="300" w:lineRule="auto"/>
        <w:rPr>
          <w:rFonts w:hint="eastAsia"/>
          <w:sz w:val="28"/>
          <w:lang w:eastAsia="zh-CN"/>
        </w:rPr>
      </w:pPr>
    </w:p>
    <w:p>
      <w:pPr>
        <w:adjustRightInd w:val="0"/>
        <w:snapToGrid w:val="0"/>
        <w:spacing w:line="300" w:lineRule="auto"/>
        <w:rPr>
          <w:rFonts w:hint="eastAsia"/>
          <w:sz w:val="28"/>
          <w:lang w:eastAsia="zh-CN"/>
        </w:rPr>
      </w:pPr>
    </w:p>
    <w:p>
      <w:pPr>
        <w:adjustRightInd w:val="0"/>
        <w:snapToGrid w:val="0"/>
        <w:spacing w:line="300" w:lineRule="auto"/>
        <w:rPr>
          <w:rFonts w:hint="eastAsia"/>
          <w:sz w:val="28"/>
          <w:lang w:eastAsia="zh-CN"/>
        </w:rPr>
      </w:pPr>
    </w:p>
    <w:p>
      <w:pPr>
        <w:adjustRightInd w:val="0"/>
        <w:snapToGrid w:val="0"/>
        <w:spacing w:line="300" w:lineRule="auto"/>
        <w:rPr>
          <w:rFonts w:hint="eastAsia"/>
          <w:sz w:val="28"/>
          <w:lang w:val="en-US" w:eastAsia="zh-CN"/>
        </w:rPr>
      </w:pPr>
      <w:r>
        <w:rPr>
          <w:rFonts w:hint="eastAsia"/>
          <w:sz w:val="28"/>
          <w:lang w:eastAsia="zh-CN"/>
        </w:rPr>
        <w:t>合同附件</w:t>
      </w:r>
      <w:r>
        <w:rPr>
          <w:rFonts w:hint="eastAsia"/>
          <w:sz w:val="28"/>
          <w:lang w:val="en-US" w:eastAsia="zh-CN"/>
        </w:rPr>
        <w:t>2：喷涂成品检验标准</w:t>
      </w:r>
    </w:p>
    <w:tbl>
      <w:tblPr>
        <w:tblStyle w:val="8"/>
        <w:tblW w:w="10196" w:type="dxa"/>
        <w:tblInd w:w="0" w:type="dxa"/>
        <w:shd w:val="clear" w:color="auto" w:fill="auto"/>
        <w:tblLayout w:type="fixed"/>
        <w:tblCellMar>
          <w:top w:w="0" w:type="dxa"/>
          <w:left w:w="0" w:type="dxa"/>
          <w:bottom w:w="0" w:type="dxa"/>
          <w:right w:w="0" w:type="dxa"/>
        </w:tblCellMar>
      </w:tblPr>
      <w:tblGrid>
        <w:gridCol w:w="10196"/>
      </w:tblGrid>
      <w:tr>
        <w:tblPrEx>
          <w:shd w:val="clear" w:color="auto" w:fill="auto"/>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1.0 目的：</w:t>
            </w:r>
          </w:p>
        </w:tc>
      </w:tr>
      <w:tr>
        <w:tblPrEx>
          <w:tblCellMar>
            <w:top w:w="0" w:type="dxa"/>
            <w:left w:w="0" w:type="dxa"/>
            <w:bottom w:w="0" w:type="dxa"/>
            <w:right w:w="0" w:type="dxa"/>
          </w:tblCellMar>
        </w:tblPrEx>
        <w:trPr>
          <w:trHeight w:val="340" w:hRule="atLeast"/>
        </w:trPr>
        <w:tc>
          <w:tcPr>
            <w:tcW w:w="10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为了统一检验标准，让检验人员更好的掌握检验要求，确保所制品能够满足客户的质量要求以达到使客户满意之目的。</w:t>
            </w:r>
          </w:p>
        </w:tc>
      </w:tr>
      <w:tr>
        <w:tblPrEx>
          <w:tblCellMar>
            <w:top w:w="0" w:type="dxa"/>
            <w:left w:w="0" w:type="dxa"/>
            <w:bottom w:w="0" w:type="dxa"/>
            <w:right w:w="0" w:type="dxa"/>
          </w:tblCellMar>
        </w:tblPrEx>
        <w:trPr>
          <w:trHeight w:val="340" w:hRule="atLeast"/>
        </w:trPr>
        <w:tc>
          <w:tcPr>
            <w:tcW w:w="10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 范围：</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公司所有制品。</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3.0 职责：</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品质部喷涂成品检验员。</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4.0 标准依据：</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4.1企业标准、YS/T429.2--2000，JG/T133</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5.0 检验标准：</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5.1 外观要求：</w:t>
            </w:r>
          </w:p>
        </w:tc>
      </w:tr>
      <w:tr>
        <w:tblPrEx>
          <w:tblCellMar>
            <w:top w:w="0" w:type="dxa"/>
            <w:left w:w="0" w:type="dxa"/>
            <w:bottom w:w="0" w:type="dxa"/>
            <w:right w:w="0" w:type="dxa"/>
          </w:tblCellMar>
        </w:tblPrEx>
        <w:trPr>
          <w:trHeight w:val="160" w:hRule="atLeast"/>
        </w:trPr>
        <w:tc>
          <w:tcPr>
            <w:tcW w:w="10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5.10 标签贴在规定的位置,无标签脱落，保护膜完全覆盖标签；</w:t>
            </w:r>
          </w:p>
        </w:tc>
      </w:tr>
      <w:tr>
        <w:tblPrEx>
          <w:tblCellMar>
            <w:top w:w="0" w:type="dxa"/>
            <w:left w:w="0" w:type="dxa"/>
            <w:bottom w:w="0" w:type="dxa"/>
            <w:right w:w="0" w:type="dxa"/>
          </w:tblCellMar>
        </w:tblPrEx>
        <w:trPr>
          <w:trHeight w:val="200" w:hRule="atLeast"/>
        </w:trPr>
        <w:tc>
          <w:tcPr>
            <w:tcW w:w="10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0" w:hRule="atLeast"/>
        </w:trPr>
        <w:tc>
          <w:tcPr>
            <w:tcW w:w="101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5.11 在自然光照条件下，从1米远处的距离用眼睛观察涂层表面时，涂层应无明显的色差、流痕、起泡、裂纹、起皱、打磨纹路、焊缝、漏涂、露底及其他表面缺陷。</w:t>
            </w:r>
          </w:p>
        </w:tc>
      </w:tr>
      <w:tr>
        <w:tblPrEx>
          <w:tblCellMar>
            <w:top w:w="0" w:type="dxa"/>
            <w:left w:w="0" w:type="dxa"/>
            <w:bottom w:w="0" w:type="dxa"/>
            <w:right w:w="0" w:type="dxa"/>
          </w:tblCellMar>
        </w:tblPrEx>
        <w:trPr>
          <w:trHeight w:val="340" w:hRule="atLeast"/>
        </w:trPr>
        <w:tc>
          <w:tcPr>
            <w:tcW w:w="101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5.12 板面平整度≤2/1000mm；</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5.13 划伤深度不伤至底漆，划伤总长度≤100mm，划伤总面积≤300mm</w:t>
            </w:r>
            <w:r>
              <w:rPr>
                <w:rFonts w:hint="eastAsia" w:ascii="宋体" w:hAnsi="宋体" w:eastAsia="宋体" w:cs="宋体"/>
                <w:i w:val="0"/>
                <w:color w:val="000000"/>
                <w:kern w:val="0"/>
                <w:sz w:val="24"/>
                <w:szCs w:val="24"/>
                <w:u w:val="none"/>
                <w:vertAlign w:val="superscript"/>
                <w:lang w:val="en-US" w:eastAsia="zh-CN" w:bidi="ar"/>
              </w:rPr>
              <w:t>2</w:t>
            </w:r>
            <w:r>
              <w:rPr>
                <w:rStyle w:val="31"/>
                <w:lang w:val="en-US" w:eastAsia="zh-CN" w:bidi="ar"/>
              </w:rPr>
              <w:t>，划伤总处数≤4处；</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5.14 仿石材类底色与样板比对符合色差规定要求，涂层表面撒点应大小分布均匀，有凹凸感，目测无明显的颜色差异；</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5.2尺寸要求：</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5.20 形状及方向符合图纸工艺要求；</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5.21 各项尺寸必须达到图纸的工艺要求；</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6.0 性能检测标准：</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6.1 膜厚标准：</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6.10 二涂：平均膜厚≥30µm，最薄处≥25µm；</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6.11 三涂：平均膜厚≥40µm，最薄处≥35µm；</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6.12 四涂：平均膜厚≥65µm，最薄处≥55µm；</w:t>
            </w:r>
          </w:p>
        </w:tc>
      </w:tr>
      <w:tr>
        <w:tblPrEx>
          <w:tblCellMar>
            <w:top w:w="0" w:type="dxa"/>
            <w:left w:w="0" w:type="dxa"/>
            <w:bottom w:w="0" w:type="dxa"/>
            <w:right w:w="0" w:type="dxa"/>
          </w:tblCellMar>
        </w:tblPrEx>
        <w:trPr>
          <w:trHeight w:val="66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6.13 备注：如客户合同有特殊膜厚要求，以合同要求为准（膜厚应该均匀适中，低于标准产品不合格，高于标准造成浪费）</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6.2 色差标准：</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6.20 颜色以客户封样板或随炉件为准；</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6.21 素色漆正面△E≤0.6NBS，异形板侧面△E≤0.8NBS；Δa，Δb要求控制在±0.3以内</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6.22 金属漆正面△E≤0.8NBS，异形板侧面△E≤0.8NBS；Δa，Δb要求控制在±0.5以内</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6.23 使用色差仪检测颜色一致性有争议时；返回第5.11条，多角度进行目测无明显色差为准。</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6.3 理化性能标准：</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6.30  铅笔硬度≥1H；</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6.31  附着力采用划格法/0级，无脱落；</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6.32  固化性：丁酮擦拭200次无变化；</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6.33  耐酸耐碱性：5%的HCl/NaOH静置24小时无变化；</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6.34  耐洗涤性：浸入3%合成洗涤剂溶液中，2小时无异状；</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6.35  光泽度：低中光泽度，其偏差值≤10；</w:t>
            </w:r>
          </w:p>
        </w:tc>
      </w:tr>
      <w:tr>
        <w:tblPrEx>
          <w:tblCellMar>
            <w:top w:w="0" w:type="dxa"/>
            <w:left w:w="0" w:type="dxa"/>
            <w:bottom w:w="0" w:type="dxa"/>
            <w:right w:w="0" w:type="dxa"/>
          </w:tblCellMar>
        </w:tblPrEx>
        <w:trPr>
          <w:trHeight w:val="340" w:hRule="atLeast"/>
        </w:trPr>
        <w:tc>
          <w:tcPr>
            <w:tcW w:w="10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6.36  耐冲击性：无裂纹，无剥离。</w:t>
            </w:r>
          </w:p>
        </w:tc>
      </w:tr>
    </w:tbl>
    <w:p>
      <w:pPr>
        <w:adjustRightInd w:val="0"/>
        <w:snapToGrid w:val="0"/>
        <w:spacing w:line="300" w:lineRule="auto"/>
        <w:rPr>
          <w:rFonts w:hint="default"/>
          <w:sz w:val="28"/>
          <w:lang w:val="en-US" w:eastAsia="zh-CN"/>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rFonts w:hint="eastAsia"/>
          <w:sz w:val="28"/>
        </w:rPr>
      </w:pPr>
    </w:p>
    <w:p>
      <w:pPr>
        <w:adjustRightInd w:val="0"/>
        <w:snapToGrid w:val="0"/>
        <w:spacing w:line="300" w:lineRule="auto"/>
        <w:rPr>
          <w:sz w:val="28"/>
        </w:rPr>
      </w:pPr>
      <w:r>
        <w:rPr>
          <w:rFonts w:hint="eastAsia"/>
          <w:sz w:val="28"/>
        </w:rPr>
        <w:t>合同附件</w:t>
      </w:r>
      <w:r>
        <w:rPr>
          <w:rFonts w:hint="eastAsia"/>
          <w:sz w:val="28"/>
          <w:lang w:val="en-US" w:eastAsia="zh-CN"/>
        </w:rPr>
        <w:t>3</w:t>
      </w:r>
      <w:r>
        <w:rPr>
          <w:rFonts w:hint="eastAsia"/>
          <w:sz w:val="28"/>
        </w:rPr>
        <w:t>：发货单模版</w:t>
      </w:r>
    </w:p>
    <w:p>
      <w:pPr>
        <w:adjustRightInd w:val="0"/>
        <w:snapToGrid w:val="0"/>
        <w:spacing w:line="300" w:lineRule="auto"/>
        <w:jc w:val="center"/>
        <w:rPr>
          <w:b/>
          <w:sz w:val="28"/>
        </w:rPr>
      </w:pPr>
      <w:r>
        <w:rPr>
          <w:rFonts w:hint="eastAsia"/>
          <w:b/>
          <w:sz w:val="28"/>
        </w:rPr>
        <w:t>方大新材料（江西）有限公司</w:t>
      </w:r>
    </w:p>
    <w:p>
      <w:pPr>
        <w:adjustRightInd w:val="0"/>
        <w:snapToGrid w:val="0"/>
        <w:spacing w:line="300" w:lineRule="auto"/>
        <w:jc w:val="center"/>
        <w:rPr>
          <w:sz w:val="28"/>
        </w:rPr>
      </w:pPr>
      <w:r>
        <w:rPr>
          <w:rFonts w:hint="eastAsia"/>
          <w:b/>
          <w:sz w:val="28"/>
        </w:rPr>
        <w:t>发货单</w:t>
      </w:r>
    </w:p>
    <w:tbl>
      <w:tblPr>
        <w:tblStyle w:val="8"/>
        <w:tblW w:w="0" w:type="auto"/>
        <w:tblInd w:w="0" w:type="dxa"/>
        <w:tblLayout w:type="fixed"/>
        <w:tblCellMar>
          <w:top w:w="0" w:type="dxa"/>
          <w:left w:w="108" w:type="dxa"/>
          <w:bottom w:w="0" w:type="dxa"/>
          <w:right w:w="108" w:type="dxa"/>
        </w:tblCellMar>
      </w:tblPr>
      <w:tblGrid>
        <w:gridCol w:w="372"/>
        <w:gridCol w:w="667"/>
        <w:gridCol w:w="604"/>
        <w:gridCol w:w="982"/>
        <w:gridCol w:w="232"/>
        <w:gridCol w:w="463"/>
        <w:gridCol w:w="204"/>
        <w:gridCol w:w="696"/>
        <w:gridCol w:w="354"/>
        <w:gridCol w:w="519"/>
        <w:gridCol w:w="511"/>
        <w:gridCol w:w="382"/>
        <w:gridCol w:w="595"/>
        <w:gridCol w:w="567"/>
        <w:gridCol w:w="503"/>
        <w:gridCol w:w="536"/>
        <w:gridCol w:w="460"/>
        <w:gridCol w:w="339"/>
        <w:gridCol w:w="744"/>
        <w:gridCol w:w="365"/>
      </w:tblGrid>
      <w:tr>
        <w:tblPrEx>
          <w:tblCellMar>
            <w:top w:w="0" w:type="dxa"/>
            <w:left w:w="108" w:type="dxa"/>
            <w:bottom w:w="0" w:type="dxa"/>
            <w:right w:w="108" w:type="dxa"/>
          </w:tblCellMar>
        </w:tblPrEx>
        <w:trPr>
          <w:gridAfter w:val="3"/>
          <w:wAfter w:w="1448" w:type="dxa"/>
          <w:trHeight w:val="270" w:hRule="atLeast"/>
        </w:trPr>
        <w:tc>
          <w:tcPr>
            <w:tcW w:w="2857" w:type="dxa"/>
            <w:gridSpan w:val="5"/>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客         户：</w:t>
            </w:r>
          </w:p>
        </w:tc>
        <w:tc>
          <w:tcPr>
            <w:tcW w:w="667" w:type="dxa"/>
            <w:gridSpan w:val="2"/>
            <w:noWrap w:val="0"/>
            <w:vAlign w:val="bottom"/>
          </w:tcPr>
          <w:p>
            <w:pPr>
              <w:autoSpaceDN w:val="0"/>
              <w:adjustRightInd w:val="0"/>
              <w:snapToGrid w:val="0"/>
              <w:spacing w:line="300" w:lineRule="auto"/>
              <w:jc w:val="left"/>
              <w:textAlignment w:val="bottom"/>
              <w:rPr>
                <w:rFonts w:ascii="宋体" w:hAnsi="宋体"/>
                <w:szCs w:val="21"/>
              </w:rPr>
            </w:pPr>
          </w:p>
        </w:tc>
        <w:tc>
          <w:tcPr>
            <w:tcW w:w="1050" w:type="dxa"/>
            <w:gridSpan w:val="2"/>
            <w:noWrap w:val="0"/>
            <w:vAlign w:val="center"/>
          </w:tcPr>
          <w:p>
            <w:pPr>
              <w:autoSpaceDN w:val="0"/>
              <w:adjustRightInd w:val="0"/>
              <w:snapToGrid w:val="0"/>
              <w:spacing w:line="300" w:lineRule="auto"/>
              <w:jc w:val="left"/>
              <w:textAlignment w:val="center"/>
              <w:rPr>
                <w:rFonts w:ascii="宋体" w:hAnsi="宋体"/>
                <w:szCs w:val="21"/>
              </w:rPr>
            </w:pPr>
          </w:p>
        </w:tc>
        <w:tc>
          <w:tcPr>
            <w:tcW w:w="1030" w:type="dxa"/>
            <w:gridSpan w:val="2"/>
            <w:noWrap w:val="0"/>
            <w:vAlign w:val="center"/>
          </w:tcPr>
          <w:p>
            <w:pPr>
              <w:autoSpaceDN w:val="0"/>
              <w:adjustRightInd w:val="0"/>
              <w:snapToGrid w:val="0"/>
              <w:spacing w:line="300" w:lineRule="auto"/>
              <w:jc w:val="left"/>
              <w:textAlignment w:val="center"/>
              <w:rPr>
                <w:rFonts w:ascii="宋体" w:hAnsi="宋体"/>
                <w:szCs w:val="21"/>
              </w:rPr>
            </w:pPr>
          </w:p>
        </w:tc>
        <w:tc>
          <w:tcPr>
            <w:tcW w:w="1544" w:type="dxa"/>
            <w:gridSpan w:val="3"/>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合 同  号：</w:t>
            </w:r>
          </w:p>
        </w:tc>
        <w:tc>
          <w:tcPr>
            <w:tcW w:w="503" w:type="dxa"/>
            <w:noWrap w:val="0"/>
            <w:vAlign w:val="center"/>
          </w:tcPr>
          <w:p>
            <w:pPr>
              <w:autoSpaceDN w:val="0"/>
              <w:adjustRightInd w:val="0"/>
              <w:snapToGrid w:val="0"/>
              <w:spacing w:line="300" w:lineRule="auto"/>
              <w:jc w:val="left"/>
              <w:textAlignment w:val="center"/>
              <w:rPr>
                <w:rFonts w:ascii="宋体" w:hAnsi="宋体"/>
                <w:szCs w:val="21"/>
              </w:rPr>
            </w:pPr>
          </w:p>
        </w:tc>
        <w:tc>
          <w:tcPr>
            <w:tcW w:w="536" w:type="dxa"/>
            <w:noWrap w:val="0"/>
            <w:vAlign w:val="center"/>
          </w:tcPr>
          <w:p>
            <w:pPr>
              <w:autoSpaceDN w:val="0"/>
              <w:adjustRightInd w:val="0"/>
              <w:snapToGrid w:val="0"/>
              <w:spacing w:line="300" w:lineRule="auto"/>
              <w:jc w:val="left"/>
              <w:textAlignment w:val="center"/>
              <w:rPr>
                <w:rFonts w:ascii="宋体" w:hAnsi="宋体"/>
                <w:szCs w:val="21"/>
              </w:rPr>
            </w:pPr>
          </w:p>
        </w:tc>
        <w:tc>
          <w:tcPr>
            <w:tcW w:w="460" w:type="dxa"/>
            <w:noWrap w:val="0"/>
            <w:vAlign w:val="center"/>
          </w:tcPr>
          <w:p>
            <w:pPr>
              <w:autoSpaceDN w:val="0"/>
              <w:adjustRightInd w:val="0"/>
              <w:snapToGrid w:val="0"/>
              <w:spacing w:line="300" w:lineRule="auto"/>
              <w:jc w:val="left"/>
              <w:textAlignment w:val="center"/>
              <w:rPr>
                <w:rFonts w:ascii="宋体" w:hAnsi="宋体"/>
                <w:szCs w:val="21"/>
              </w:rPr>
            </w:pPr>
          </w:p>
        </w:tc>
      </w:tr>
      <w:tr>
        <w:tblPrEx>
          <w:tblCellMar>
            <w:top w:w="0" w:type="dxa"/>
            <w:left w:w="108" w:type="dxa"/>
            <w:bottom w:w="0" w:type="dxa"/>
            <w:right w:w="108" w:type="dxa"/>
          </w:tblCellMar>
        </w:tblPrEx>
        <w:trPr>
          <w:gridAfter w:val="3"/>
          <w:wAfter w:w="1448" w:type="dxa"/>
          <w:trHeight w:val="330" w:hRule="atLeast"/>
        </w:trPr>
        <w:tc>
          <w:tcPr>
            <w:tcW w:w="2857" w:type="dxa"/>
            <w:gridSpan w:val="5"/>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 xml:space="preserve">工程名称 ： </w:t>
            </w:r>
          </w:p>
        </w:tc>
        <w:tc>
          <w:tcPr>
            <w:tcW w:w="667" w:type="dxa"/>
            <w:gridSpan w:val="2"/>
            <w:noWrap w:val="0"/>
            <w:vAlign w:val="bottom"/>
          </w:tcPr>
          <w:p>
            <w:pPr>
              <w:autoSpaceDN w:val="0"/>
              <w:adjustRightInd w:val="0"/>
              <w:snapToGrid w:val="0"/>
              <w:spacing w:line="300" w:lineRule="auto"/>
              <w:jc w:val="left"/>
              <w:textAlignment w:val="bottom"/>
              <w:rPr>
                <w:rFonts w:ascii="宋体" w:hAnsi="宋体"/>
                <w:szCs w:val="21"/>
              </w:rPr>
            </w:pPr>
          </w:p>
        </w:tc>
        <w:tc>
          <w:tcPr>
            <w:tcW w:w="1050" w:type="dxa"/>
            <w:gridSpan w:val="2"/>
            <w:noWrap w:val="0"/>
            <w:vAlign w:val="center"/>
          </w:tcPr>
          <w:p>
            <w:pPr>
              <w:autoSpaceDN w:val="0"/>
              <w:adjustRightInd w:val="0"/>
              <w:snapToGrid w:val="0"/>
              <w:spacing w:line="300" w:lineRule="auto"/>
              <w:jc w:val="left"/>
              <w:textAlignment w:val="center"/>
              <w:rPr>
                <w:rFonts w:ascii="宋体" w:hAnsi="宋体"/>
                <w:szCs w:val="21"/>
              </w:rPr>
            </w:pPr>
          </w:p>
        </w:tc>
        <w:tc>
          <w:tcPr>
            <w:tcW w:w="1030" w:type="dxa"/>
            <w:gridSpan w:val="2"/>
            <w:noWrap w:val="0"/>
            <w:vAlign w:val="center"/>
          </w:tcPr>
          <w:p>
            <w:pPr>
              <w:autoSpaceDN w:val="0"/>
              <w:adjustRightInd w:val="0"/>
              <w:snapToGrid w:val="0"/>
              <w:spacing w:line="300" w:lineRule="auto"/>
              <w:jc w:val="left"/>
              <w:textAlignment w:val="center"/>
              <w:rPr>
                <w:rFonts w:ascii="宋体" w:hAnsi="宋体"/>
                <w:szCs w:val="21"/>
              </w:rPr>
            </w:pPr>
          </w:p>
        </w:tc>
        <w:tc>
          <w:tcPr>
            <w:tcW w:w="2583" w:type="dxa"/>
            <w:gridSpan w:val="5"/>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发货批次：第  批</w:t>
            </w:r>
          </w:p>
        </w:tc>
        <w:tc>
          <w:tcPr>
            <w:tcW w:w="460" w:type="dxa"/>
            <w:noWrap w:val="0"/>
            <w:vAlign w:val="center"/>
          </w:tcPr>
          <w:p>
            <w:pPr>
              <w:autoSpaceDN w:val="0"/>
              <w:adjustRightInd w:val="0"/>
              <w:snapToGrid w:val="0"/>
              <w:spacing w:line="300" w:lineRule="auto"/>
              <w:jc w:val="left"/>
              <w:textAlignment w:val="center"/>
              <w:rPr>
                <w:rFonts w:ascii="宋体" w:hAnsi="宋体"/>
                <w:szCs w:val="21"/>
              </w:rPr>
            </w:pPr>
          </w:p>
        </w:tc>
      </w:tr>
      <w:tr>
        <w:tblPrEx>
          <w:tblCellMar>
            <w:top w:w="0" w:type="dxa"/>
            <w:left w:w="108" w:type="dxa"/>
            <w:bottom w:w="0" w:type="dxa"/>
            <w:right w:w="108" w:type="dxa"/>
          </w:tblCellMar>
        </w:tblPrEx>
        <w:trPr>
          <w:trHeight w:val="270" w:hRule="atLeast"/>
        </w:trPr>
        <w:tc>
          <w:tcPr>
            <w:tcW w:w="5604" w:type="dxa"/>
            <w:gridSpan w:val="11"/>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 xml:space="preserve">联系地址： </w:t>
            </w:r>
          </w:p>
        </w:tc>
        <w:tc>
          <w:tcPr>
            <w:tcW w:w="3382" w:type="dxa"/>
            <w:gridSpan w:val="7"/>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发货日期：20</w:t>
            </w:r>
            <w:r>
              <w:rPr>
                <w:rFonts w:hint="eastAsia" w:ascii="宋体" w:hAnsi="宋体"/>
                <w:szCs w:val="21"/>
                <w:lang w:val="en-US" w:eastAsia="zh-CN"/>
              </w:rPr>
              <w:t>22</w:t>
            </w:r>
            <w:r>
              <w:rPr>
                <w:rFonts w:ascii="宋体" w:hAnsi="宋体"/>
                <w:szCs w:val="21"/>
              </w:rPr>
              <w:t>年  月  日</w:t>
            </w:r>
          </w:p>
        </w:tc>
        <w:tc>
          <w:tcPr>
            <w:tcW w:w="744" w:type="dxa"/>
            <w:noWrap w:val="0"/>
            <w:vAlign w:val="center"/>
          </w:tcPr>
          <w:p>
            <w:pPr>
              <w:autoSpaceDN w:val="0"/>
              <w:adjustRightInd w:val="0"/>
              <w:snapToGrid w:val="0"/>
              <w:spacing w:line="300" w:lineRule="auto"/>
              <w:jc w:val="left"/>
              <w:textAlignment w:val="center"/>
              <w:rPr>
                <w:rFonts w:ascii="宋体" w:hAnsi="宋体"/>
                <w:szCs w:val="21"/>
              </w:rPr>
            </w:pPr>
          </w:p>
        </w:tc>
        <w:tc>
          <w:tcPr>
            <w:tcW w:w="365" w:type="dxa"/>
            <w:noWrap w:val="0"/>
            <w:vAlign w:val="center"/>
          </w:tcPr>
          <w:p>
            <w:pPr>
              <w:autoSpaceDN w:val="0"/>
              <w:adjustRightInd w:val="0"/>
              <w:snapToGrid w:val="0"/>
              <w:spacing w:line="300" w:lineRule="auto"/>
              <w:jc w:val="left"/>
              <w:textAlignment w:val="center"/>
              <w:rPr>
                <w:rFonts w:ascii="宋体" w:hAnsi="宋体"/>
                <w:szCs w:val="21"/>
              </w:rPr>
            </w:pPr>
          </w:p>
        </w:tc>
      </w:tr>
      <w:tr>
        <w:tblPrEx>
          <w:tblCellMar>
            <w:top w:w="0" w:type="dxa"/>
            <w:left w:w="108" w:type="dxa"/>
            <w:bottom w:w="0" w:type="dxa"/>
            <w:right w:w="108" w:type="dxa"/>
          </w:tblCellMar>
        </w:tblPrEx>
        <w:trPr>
          <w:gridAfter w:val="3"/>
          <w:wAfter w:w="1448" w:type="dxa"/>
          <w:trHeight w:val="330" w:hRule="atLeast"/>
        </w:trPr>
        <w:tc>
          <w:tcPr>
            <w:tcW w:w="5604" w:type="dxa"/>
            <w:gridSpan w:val="11"/>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 xml:space="preserve">我司指定联系人： </w:t>
            </w:r>
          </w:p>
        </w:tc>
        <w:tc>
          <w:tcPr>
            <w:tcW w:w="3043" w:type="dxa"/>
            <w:gridSpan w:val="6"/>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 xml:space="preserve">客户指定收货人：   电话： </w:t>
            </w:r>
          </w:p>
        </w:tc>
      </w:tr>
      <w:tr>
        <w:tblPrEx>
          <w:tblCellMar>
            <w:top w:w="0" w:type="dxa"/>
            <w:left w:w="108" w:type="dxa"/>
            <w:bottom w:w="0" w:type="dxa"/>
            <w:right w:w="108" w:type="dxa"/>
          </w:tblCellMar>
        </w:tblPrEx>
        <w:trPr>
          <w:gridAfter w:val="3"/>
          <w:wAfter w:w="1448" w:type="dxa"/>
          <w:trHeight w:val="480" w:hRule="atLeast"/>
        </w:trPr>
        <w:tc>
          <w:tcPr>
            <w:tcW w:w="37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序号</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产品名称</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板厚</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名称(板号)</w:t>
            </w:r>
          </w:p>
        </w:tc>
        <w:tc>
          <w:tcPr>
            <w:tcW w:w="6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数量(件)</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单件面积</w:t>
            </w: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合计(m</w:t>
            </w:r>
            <w:r>
              <w:rPr>
                <w:rFonts w:ascii="宋体" w:hAnsi="宋体"/>
                <w:szCs w:val="21"/>
                <w:vertAlign w:val="superscript"/>
              </w:rPr>
              <w:t>2</w:t>
            </w:r>
            <w:r>
              <w:rPr>
                <w:rFonts w:ascii="宋体" w:hAnsi="宋体"/>
                <w:szCs w:val="21"/>
              </w:rPr>
              <w:t>)</w:t>
            </w:r>
          </w:p>
        </w:tc>
        <w:tc>
          <w:tcPr>
            <w:tcW w:w="8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板型区分</w:t>
            </w:r>
          </w:p>
        </w:tc>
        <w:tc>
          <w:tcPr>
            <w:tcW w:w="595" w:type="dxa"/>
            <w:tcBorders>
              <w:top w:val="single" w:color="000000" w:sz="4" w:space="0"/>
              <w:left w:val="single" w:color="000000" w:sz="4" w:space="0"/>
              <w:bottom w:val="single" w:color="000000"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文件号</w:t>
            </w:r>
          </w:p>
        </w:tc>
        <w:tc>
          <w:tcPr>
            <w:tcW w:w="567"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铣槽</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通长焊</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加宽</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备注</w:t>
            </w:r>
          </w:p>
        </w:tc>
      </w:tr>
      <w:tr>
        <w:tblPrEx>
          <w:tblCellMar>
            <w:top w:w="0" w:type="dxa"/>
            <w:left w:w="108" w:type="dxa"/>
            <w:bottom w:w="0" w:type="dxa"/>
            <w:right w:w="108" w:type="dxa"/>
          </w:tblCellMar>
        </w:tblPrEx>
        <w:trPr>
          <w:gridAfter w:val="3"/>
          <w:wAfter w:w="1448" w:type="dxa"/>
          <w:trHeight w:val="240" w:hRule="atLeast"/>
        </w:trPr>
        <w:tc>
          <w:tcPr>
            <w:tcW w:w="37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1</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82" w:type="dxa"/>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95" w:type="dxa"/>
            <w:tcBorders>
              <w:top w:val="single" w:color="000000" w:sz="4" w:space="0"/>
              <w:left w:val="single" w:color="000000" w:sz="4" w:space="0"/>
              <w:bottom w:val="single" w:color="000000"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67"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p>
        </w:tc>
      </w:tr>
      <w:tr>
        <w:tblPrEx>
          <w:tblCellMar>
            <w:top w:w="0" w:type="dxa"/>
            <w:left w:w="108" w:type="dxa"/>
            <w:bottom w:w="0" w:type="dxa"/>
            <w:right w:w="108" w:type="dxa"/>
          </w:tblCellMar>
        </w:tblPrEx>
        <w:trPr>
          <w:gridAfter w:val="3"/>
          <w:wAfter w:w="1448" w:type="dxa"/>
          <w:trHeight w:val="240" w:hRule="atLeast"/>
        </w:trPr>
        <w:tc>
          <w:tcPr>
            <w:tcW w:w="37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2</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82" w:type="dxa"/>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95" w:type="dxa"/>
            <w:tcBorders>
              <w:top w:val="single" w:color="000000" w:sz="4" w:space="0"/>
              <w:left w:val="single" w:color="000000" w:sz="4" w:space="0"/>
              <w:bottom w:val="single" w:color="000000"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67"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p>
        </w:tc>
      </w:tr>
      <w:tr>
        <w:tblPrEx>
          <w:tblCellMar>
            <w:top w:w="0" w:type="dxa"/>
            <w:left w:w="108" w:type="dxa"/>
            <w:bottom w:w="0" w:type="dxa"/>
            <w:right w:w="108" w:type="dxa"/>
          </w:tblCellMar>
        </w:tblPrEx>
        <w:trPr>
          <w:gridAfter w:val="3"/>
          <w:wAfter w:w="1448" w:type="dxa"/>
          <w:trHeight w:val="240" w:hRule="atLeast"/>
        </w:trPr>
        <w:tc>
          <w:tcPr>
            <w:tcW w:w="37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3</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82" w:type="dxa"/>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95" w:type="dxa"/>
            <w:tcBorders>
              <w:top w:val="single" w:color="000000" w:sz="4" w:space="0"/>
              <w:left w:val="single" w:color="000000" w:sz="4" w:space="0"/>
              <w:bottom w:val="single" w:color="000000"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67"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p>
        </w:tc>
      </w:tr>
      <w:tr>
        <w:tblPrEx>
          <w:tblCellMar>
            <w:top w:w="0" w:type="dxa"/>
            <w:left w:w="108" w:type="dxa"/>
            <w:bottom w:w="0" w:type="dxa"/>
            <w:right w:w="108" w:type="dxa"/>
          </w:tblCellMar>
        </w:tblPrEx>
        <w:trPr>
          <w:gridAfter w:val="3"/>
          <w:wAfter w:w="1448" w:type="dxa"/>
          <w:trHeight w:val="240" w:hRule="atLeast"/>
        </w:trPr>
        <w:tc>
          <w:tcPr>
            <w:tcW w:w="37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4</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82" w:type="dxa"/>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95" w:type="dxa"/>
            <w:tcBorders>
              <w:top w:val="single" w:color="000000" w:sz="4" w:space="0"/>
              <w:left w:val="single" w:color="000000" w:sz="4" w:space="0"/>
              <w:bottom w:val="single" w:color="000000"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67"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p>
        </w:tc>
      </w:tr>
      <w:tr>
        <w:tblPrEx>
          <w:tblCellMar>
            <w:top w:w="0" w:type="dxa"/>
            <w:left w:w="108" w:type="dxa"/>
            <w:bottom w:w="0" w:type="dxa"/>
            <w:right w:w="108" w:type="dxa"/>
          </w:tblCellMar>
        </w:tblPrEx>
        <w:trPr>
          <w:gridAfter w:val="3"/>
          <w:wAfter w:w="1448" w:type="dxa"/>
          <w:trHeight w:val="240" w:hRule="atLeast"/>
        </w:trPr>
        <w:tc>
          <w:tcPr>
            <w:tcW w:w="37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5</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82" w:type="dxa"/>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95" w:type="dxa"/>
            <w:tcBorders>
              <w:top w:val="single" w:color="000000" w:sz="4" w:space="0"/>
              <w:left w:val="single" w:color="000000" w:sz="4" w:space="0"/>
              <w:bottom w:val="single" w:color="000000"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67"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p>
        </w:tc>
      </w:tr>
      <w:tr>
        <w:tblPrEx>
          <w:tblCellMar>
            <w:top w:w="0" w:type="dxa"/>
            <w:left w:w="108" w:type="dxa"/>
            <w:bottom w:w="0" w:type="dxa"/>
            <w:right w:w="108" w:type="dxa"/>
          </w:tblCellMar>
        </w:tblPrEx>
        <w:trPr>
          <w:gridAfter w:val="3"/>
          <w:wAfter w:w="1448" w:type="dxa"/>
          <w:trHeight w:val="240" w:hRule="atLeast"/>
        </w:trPr>
        <w:tc>
          <w:tcPr>
            <w:tcW w:w="37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6</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82" w:type="dxa"/>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95" w:type="dxa"/>
            <w:tcBorders>
              <w:top w:val="single" w:color="000000" w:sz="4" w:space="0"/>
              <w:left w:val="single" w:color="000000" w:sz="4" w:space="0"/>
              <w:bottom w:val="single" w:color="000000"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67"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p>
        </w:tc>
      </w:tr>
      <w:tr>
        <w:tblPrEx>
          <w:tblCellMar>
            <w:top w:w="0" w:type="dxa"/>
            <w:left w:w="108" w:type="dxa"/>
            <w:bottom w:w="0" w:type="dxa"/>
            <w:right w:w="108" w:type="dxa"/>
          </w:tblCellMar>
        </w:tblPrEx>
        <w:trPr>
          <w:gridAfter w:val="3"/>
          <w:wAfter w:w="1448" w:type="dxa"/>
          <w:trHeight w:val="240" w:hRule="atLeast"/>
        </w:trPr>
        <w:tc>
          <w:tcPr>
            <w:tcW w:w="37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7</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82" w:type="dxa"/>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95" w:type="dxa"/>
            <w:tcBorders>
              <w:top w:val="single" w:color="000000" w:sz="4" w:space="0"/>
              <w:left w:val="single" w:color="000000" w:sz="4" w:space="0"/>
              <w:bottom w:val="single" w:color="000000"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67"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p>
        </w:tc>
      </w:tr>
      <w:tr>
        <w:tblPrEx>
          <w:tblCellMar>
            <w:top w:w="0" w:type="dxa"/>
            <w:left w:w="108" w:type="dxa"/>
            <w:bottom w:w="0" w:type="dxa"/>
            <w:right w:w="108" w:type="dxa"/>
          </w:tblCellMar>
        </w:tblPrEx>
        <w:trPr>
          <w:gridAfter w:val="3"/>
          <w:wAfter w:w="1448" w:type="dxa"/>
          <w:trHeight w:val="240" w:hRule="atLeast"/>
        </w:trPr>
        <w:tc>
          <w:tcPr>
            <w:tcW w:w="37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8</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82" w:type="dxa"/>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95" w:type="dxa"/>
            <w:tcBorders>
              <w:top w:val="single" w:color="000000" w:sz="4" w:space="0"/>
              <w:left w:val="single" w:color="000000" w:sz="4" w:space="0"/>
              <w:bottom w:val="single" w:color="000000"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67"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p>
        </w:tc>
      </w:tr>
      <w:tr>
        <w:tblPrEx>
          <w:tblCellMar>
            <w:top w:w="0" w:type="dxa"/>
            <w:left w:w="108" w:type="dxa"/>
            <w:bottom w:w="0" w:type="dxa"/>
            <w:right w:w="108" w:type="dxa"/>
          </w:tblCellMar>
        </w:tblPrEx>
        <w:trPr>
          <w:gridAfter w:val="3"/>
          <w:wAfter w:w="1448" w:type="dxa"/>
          <w:trHeight w:val="240" w:hRule="atLeast"/>
        </w:trPr>
        <w:tc>
          <w:tcPr>
            <w:tcW w:w="372"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9</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82" w:type="dxa"/>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8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95" w:type="dxa"/>
            <w:tcBorders>
              <w:top w:val="single" w:color="000000" w:sz="4" w:space="0"/>
              <w:left w:val="single" w:color="000000" w:sz="4" w:space="0"/>
              <w:bottom w:val="single" w:color="000000"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67"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szCs w:val="21"/>
              </w:rPr>
            </w:pPr>
          </w:p>
        </w:tc>
      </w:tr>
      <w:tr>
        <w:tblPrEx>
          <w:tblCellMar>
            <w:top w:w="0" w:type="dxa"/>
            <w:left w:w="108" w:type="dxa"/>
            <w:bottom w:w="0" w:type="dxa"/>
            <w:right w:w="108" w:type="dxa"/>
          </w:tblCellMar>
        </w:tblPrEx>
        <w:trPr>
          <w:gridAfter w:val="3"/>
          <w:wAfter w:w="1448" w:type="dxa"/>
          <w:trHeight w:val="240" w:hRule="atLeast"/>
        </w:trPr>
        <w:tc>
          <w:tcPr>
            <w:tcW w:w="372" w:type="dxa"/>
            <w:tcBorders>
              <w:top w:val="single" w:color="000000" w:sz="4" w:space="0"/>
              <w:left w:val="single" w:color="000000" w:sz="4" w:space="0"/>
              <w:bottom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667" w:type="dxa"/>
            <w:tcBorders>
              <w:top w:val="single" w:color="000000" w:sz="4" w:space="0"/>
              <w:bottom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604" w:type="dxa"/>
            <w:tcBorders>
              <w:top w:val="single" w:color="000000" w:sz="4" w:space="0"/>
              <w:bottom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982" w:type="dxa"/>
            <w:tcBorders>
              <w:top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r>
              <w:rPr>
                <w:rFonts w:ascii="宋体" w:hAnsi="宋体"/>
                <w:b/>
                <w:szCs w:val="21"/>
              </w:rPr>
              <w:t>小计</w:t>
            </w:r>
          </w:p>
        </w:tc>
        <w:tc>
          <w:tcPr>
            <w:tcW w:w="6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8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595" w:type="dxa"/>
            <w:tcBorders>
              <w:top w:val="single" w:color="000000" w:sz="4" w:space="0"/>
              <w:left w:val="single" w:color="000000" w:sz="4" w:space="0"/>
              <w:bottom w:val="single" w:color="000000"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567"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b/>
                <w:szCs w:val="21"/>
              </w:rPr>
            </w:pPr>
          </w:p>
        </w:tc>
      </w:tr>
      <w:tr>
        <w:tblPrEx>
          <w:tblCellMar>
            <w:top w:w="0" w:type="dxa"/>
            <w:left w:w="108" w:type="dxa"/>
            <w:bottom w:w="0" w:type="dxa"/>
            <w:right w:w="108" w:type="dxa"/>
          </w:tblCellMar>
        </w:tblPrEx>
        <w:trPr>
          <w:gridAfter w:val="3"/>
          <w:wAfter w:w="1448" w:type="dxa"/>
          <w:trHeight w:val="240" w:hRule="atLeast"/>
        </w:trPr>
        <w:tc>
          <w:tcPr>
            <w:tcW w:w="2625"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right"/>
              <w:textAlignment w:val="center"/>
              <w:rPr>
                <w:rFonts w:ascii="宋体" w:hAnsi="宋体"/>
                <w:b/>
                <w:szCs w:val="21"/>
              </w:rPr>
            </w:pPr>
            <w:r>
              <w:rPr>
                <w:rFonts w:ascii="宋体" w:hAnsi="宋体"/>
                <w:b/>
                <w:szCs w:val="21"/>
              </w:rPr>
              <w:t>合计</w:t>
            </w:r>
          </w:p>
        </w:tc>
        <w:tc>
          <w:tcPr>
            <w:tcW w:w="69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87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89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595" w:type="dxa"/>
            <w:tcBorders>
              <w:top w:val="single" w:color="000000" w:sz="4" w:space="0"/>
              <w:left w:val="single" w:color="000000" w:sz="4" w:space="0"/>
              <w:bottom w:val="single" w:color="000000"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567" w:type="dxa"/>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center"/>
              <w:textAlignment w:val="center"/>
              <w:rPr>
                <w:rFonts w:ascii="宋体" w:hAnsi="宋体"/>
                <w:b/>
                <w:szCs w:val="21"/>
              </w:rPr>
            </w:pPr>
          </w:p>
        </w:tc>
      </w:tr>
      <w:tr>
        <w:tblPrEx>
          <w:tblCellMar>
            <w:top w:w="0" w:type="dxa"/>
            <w:left w:w="108" w:type="dxa"/>
            <w:bottom w:w="0" w:type="dxa"/>
            <w:right w:w="108" w:type="dxa"/>
          </w:tblCellMar>
        </w:tblPrEx>
        <w:trPr>
          <w:gridAfter w:val="3"/>
          <w:wAfter w:w="1448" w:type="dxa"/>
          <w:trHeight w:val="270" w:hRule="atLeast"/>
        </w:trPr>
        <w:tc>
          <w:tcPr>
            <w:tcW w:w="8647" w:type="dxa"/>
            <w:gridSpan w:val="17"/>
            <w:tcBorders>
              <w:left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b/>
                <w:szCs w:val="21"/>
              </w:rPr>
            </w:pPr>
            <w:r>
              <w:rPr>
                <w:rFonts w:ascii="宋体" w:hAnsi="宋体"/>
                <w:b/>
                <w:szCs w:val="21"/>
              </w:rPr>
              <w:t xml:space="preserve"> 附：检测报告、品质保证书、合格证各一份.</w:t>
            </w:r>
          </w:p>
        </w:tc>
      </w:tr>
      <w:tr>
        <w:tblPrEx>
          <w:tblCellMar>
            <w:top w:w="0" w:type="dxa"/>
            <w:left w:w="108" w:type="dxa"/>
            <w:bottom w:w="0" w:type="dxa"/>
            <w:right w:w="108" w:type="dxa"/>
          </w:tblCellMar>
        </w:tblPrEx>
        <w:trPr>
          <w:gridAfter w:val="3"/>
          <w:wAfter w:w="1448" w:type="dxa"/>
          <w:trHeight w:val="270" w:hRule="atLeast"/>
        </w:trPr>
        <w:tc>
          <w:tcPr>
            <w:tcW w:w="8647" w:type="dxa"/>
            <w:gridSpan w:val="17"/>
            <w:tcBorders>
              <w:top w:val="single" w:color="000000" w:sz="4" w:space="0"/>
              <w:left w:val="single" w:color="000000" w:sz="4" w:space="0"/>
              <w:bottom w:val="single" w:color="000000" w:sz="4" w:space="0"/>
              <w:right w:val="single" w:color="000000" w:sz="4" w:space="0"/>
            </w:tcBorders>
            <w:noWrap w:val="0"/>
            <w:vAlign w:val="top"/>
          </w:tcPr>
          <w:p>
            <w:pPr>
              <w:autoSpaceDN w:val="0"/>
              <w:adjustRightInd w:val="0"/>
              <w:snapToGrid w:val="0"/>
              <w:spacing w:line="300" w:lineRule="auto"/>
              <w:jc w:val="left"/>
              <w:textAlignment w:val="top"/>
              <w:rPr>
                <w:rFonts w:ascii="宋体" w:hAnsi="宋体"/>
                <w:b/>
                <w:szCs w:val="21"/>
              </w:rPr>
            </w:pPr>
            <w:r>
              <w:rPr>
                <w:rFonts w:ascii="宋体" w:hAnsi="宋体"/>
                <w:b/>
                <w:szCs w:val="21"/>
              </w:rPr>
              <w:t>请验收以上货品是否正确，如发现货品有不符者，请立即提出，若24小时内未收获任何异议，一切所供货品的数量和质量均视为正确无误。</w:t>
            </w:r>
          </w:p>
        </w:tc>
      </w:tr>
      <w:tr>
        <w:tblPrEx>
          <w:tblCellMar>
            <w:top w:w="0" w:type="dxa"/>
            <w:left w:w="108" w:type="dxa"/>
            <w:bottom w:w="0" w:type="dxa"/>
            <w:right w:w="108" w:type="dxa"/>
          </w:tblCellMar>
        </w:tblPrEx>
        <w:trPr>
          <w:gridAfter w:val="3"/>
          <w:wAfter w:w="1448" w:type="dxa"/>
          <w:trHeight w:val="270" w:hRule="atLeast"/>
        </w:trPr>
        <w:tc>
          <w:tcPr>
            <w:tcW w:w="8647" w:type="dxa"/>
            <w:gridSpan w:val="17"/>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b/>
                <w:szCs w:val="21"/>
              </w:rPr>
            </w:pPr>
            <w:r>
              <w:rPr>
                <w:rFonts w:ascii="宋体" w:hAnsi="宋体"/>
                <w:b/>
                <w:szCs w:val="21"/>
              </w:rPr>
              <w:t>我司联系人意见：</w:t>
            </w:r>
          </w:p>
        </w:tc>
      </w:tr>
      <w:tr>
        <w:tblPrEx>
          <w:tblCellMar>
            <w:top w:w="0" w:type="dxa"/>
            <w:left w:w="108" w:type="dxa"/>
            <w:bottom w:w="0" w:type="dxa"/>
            <w:right w:w="108" w:type="dxa"/>
          </w:tblCellMar>
        </w:tblPrEx>
        <w:trPr>
          <w:gridAfter w:val="3"/>
          <w:wAfter w:w="1448" w:type="dxa"/>
          <w:trHeight w:val="270" w:hRule="atLeast"/>
        </w:trPr>
        <w:tc>
          <w:tcPr>
            <w:tcW w:w="8647" w:type="dxa"/>
            <w:gridSpan w:val="17"/>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auto"/>
              <w:jc w:val="left"/>
              <w:textAlignment w:val="center"/>
              <w:rPr>
                <w:rFonts w:ascii="宋体" w:hAnsi="宋体"/>
                <w:b/>
                <w:szCs w:val="21"/>
              </w:rPr>
            </w:pPr>
            <w:r>
              <w:rPr>
                <w:rFonts w:ascii="宋体" w:hAnsi="宋体"/>
                <w:b/>
                <w:szCs w:val="21"/>
              </w:rPr>
              <w:t>客户指定收货人意见：</w:t>
            </w:r>
          </w:p>
        </w:tc>
      </w:tr>
      <w:tr>
        <w:tblPrEx>
          <w:tblCellMar>
            <w:top w:w="0" w:type="dxa"/>
            <w:left w:w="108" w:type="dxa"/>
            <w:bottom w:w="0" w:type="dxa"/>
            <w:right w:w="108" w:type="dxa"/>
          </w:tblCellMar>
        </w:tblPrEx>
        <w:trPr>
          <w:gridAfter w:val="3"/>
          <w:wAfter w:w="1448" w:type="dxa"/>
          <w:trHeight w:val="270" w:hRule="atLeast"/>
        </w:trPr>
        <w:tc>
          <w:tcPr>
            <w:tcW w:w="8647" w:type="dxa"/>
            <w:gridSpan w:val="17"/>
            <w:noWrap w:val="0"/>
            <w:vAlign w:val="bottom"/>
          </w:tcPr>
          <w:p>
            <w:pPr>
              <w:autoSpaceDN w:val="0"/>
              <w:adjustRightInd w:val="0"/>
              <w:snapToGrid w:val="0"/>
              <w:spacing w:line="300" w:lineRule="auto"/>
              <w:jc w:val="left"/>
              <w:textAlignment w:val="bottom"/>
              <w:rPr>
                <w:rFonts w:ascii="宋体" w:hAnsi="宋体"/>
                <w:szCs w:val="21"/>
              </w:rPr>
            </w:pPr>
            <w:r>
              <w:rPr>
                <w:rFonts w:ascii="宋体" w:hAnsi="宋体"/>
                <w:szCs w:val="21"/>
              </w:rPr>
              <w:t>主管:   发货员:     承运方：   承运方电话:    签收人:</w:t>
            </w:r>
          </w:p>
        </w:tc>
      </w:tr>
    </w:tbl>
    <w:p>
      <w:pPr>
        <w:adjustRightInd w:val="0"/>
        <w:snapToGrid w:val="0"/>
        <w:spacing w:line="300" w:lineRule="auto"/>
        <w:rPr>
          <w:rFonts w:ascii="宋体" w:hAnsi="宋体"/>
          <w:szCs w:val="21"/>
        </w:rPr>
      </w:pPr>
    </w:p>
    <w:p>
      <w:pPr>
        <w:adjustRightInd w:val="0"/>
        <w:snapToGrid w:val="0"/>
        <w:spacing w:line="300" w:lineRule="auto"/>
        <w:rPr>
          <w:rFonts w:ascii="宋体" w:hAnsi="宋体"/>
          <w:szCs w:val="21"/>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r>
        <w:rPr>
          <w:rFonts w:hint="eastAsia"/>
          <w:sz w:val="28"/>
        </w:rPr>
        <w:t>合同附件</w:t>
      </w:r>
      <w:r>
        <w:rPr>
          <w:rFonts w:hint="eastAsia"/>
          <w:sz w:val="28"/>
          <w:lang w:val="en-US" w:eastAsia="zh-CN"/>
        </w:rPr>
        <w:t>4</w:t>
      </w:r>
      <w:r>
        <w:rPr>
          <w:rFonts w:hint="eastAsia"/>
          <w:sz w:val="28"/>
        </w:rPr>
        <w:t>：工程下料单模版</w:t>
      </w:r>
    </w:p>
    <w:p>
      <w:pPr>
        <w:adjustRightInd w:val="0"/>
        <w:snapToGrid w:val="0"/>
        <w:spacing w:line="300" w:lineRule="auto"/>
        <w:jc w:val="center"/>
        <w:rPr>
          <w:b/>
          <w:szCs w:val="21"/>
        </w:rPr>
      </w:pPr>
      <w:r>
        <w:rPr>
          <w:rFonts w:hint="eastAsia"/>
          <w:b/>
          <w:szCs w:val="21"/>
        </w:rPr>
        <w:t>方大新材料（江西）有限公司工程下料单</w:t>
      </w:r>
    </w:p>
    <w:tbl>
      <w:tblPr>
        <w:tblStyle w:val="8"/>
        <w:tblW w:w="0" w:type="auto"/>
        <w:tblInd w:w="0" w:type="dxa"/>
        <w:tblLayout w:type="fixed"/>
        <w:tblCellMar>
          <w:top w:w="0" w:type="dxa"/>
          <w:left w:w="108" w:type="dxa"/>
          <w:bottom w:w="0" w:type="dxa"/>
          <w:right w:w="108" w:type="dxa"/>
        </w:tblCellMar>
      </w:tblPr>
      <w:tblGrid>
        <w:gridCol w:w="530"/>
        <w:gridCol w:w="894"/>
        <w:gridCol w:w="1081"/>
        <w:gridCol w:w="1080"/>
        <w:gridCol w:w="589"/>
        <w:gridCol w:w="628"/>
        <w:gridCol w:w="709"/>
        <w:gridCol w:w="943"/>
        <w:gridCol w:w="540"/>
        <w:gridCol w:w="707"/>
        <w:gridCol w:w="943"/>
      </w:tblGrid>
      <w:tr>
        <w:tblPrEx>
          <w:tblCellMar>
            <w:top w:w="0" w:type="dxa"/>
            <w:left w:w="108" w:type="dxa"/>
            <w:bottom w:w="0" w:type="dxa"/>
            <w:right w:w="108" w:type="dxa"/>
          </w:tblCellMar>
        </w:tblPrEx>
        <w:trPr>
          <w:trHeight w:val="315" w:hRule="atLeast"/>
        </w:trPr>
        <w:tc>
          <w:tcPr>
            <w:tcW w:w="2505" w:type="dxa"/>
            <w:gridSpan w:val="3"/>
            <w:noWrap w:val="0"/>
            <w:vAlign w:val="bottom"/>
          </w:tcPr>
          <w:p>
            <w:pPr>
              <w:autoSpaceDN w:val="0"/>
              <w:adjustRightInd w:val="0"/>
              <w:snapToGrid w:val="0"/>
              <w:spacing w:line="300" w:lineRule="auto"/>
              <w:jc w:val="left"/>
              <w:textAlignment w:val="bottom"/>
              <w:rPr>
                <w:rFonts w:ascii="宋体" w:hAnsi="宋体"/>
                <w:szCs w:val="21"/>
              </w:rPr>
            </w:pPr>
            <w:r>
              <w:rPr>
                <w:rFonts w:ascii="宋体" w:hAnsi="宋体"/>
                <w:szCs w:val="21"/>
              </w:rPr>
              <w:t>工程名:</w:t>
            </w:r>
          </w:p>
        </w:tc>
        <w:tc>
          <w:tcPr>
            <w:tcW w:w="1080" w:type="dxa"/>
            <w:noWrap w:val="0"/>
            <w:vAlign w:val="center"/>
          </w:tcPr>
          <w:p>
            <w:pPr>
              <w:autoSpaceDN w:val="0"/>
              <w:adjustRightInd w:val="0"/>
              <w:snapToGrid w:val="0"/>
              <w:spacing w:line="300" w:lineRule="auto"/>
              <w:jc w:val="left"/>
              <w:textAlignment w:val="center"/>
              <w:rPr>
                <w:rFonts w:ascii="宋体" w:hAnsi="宋体"/>
                <w:szCs w:val="21"/>
              </w:rPr>
            </w:pPr>
            <w:r>
              <w:rPr>
                <w:rFonts w:ascii="宋体" w:hAnsi="宋体"/>
                <w:szCs w:val="21"/>
              </w:rPr>
              <w:t>下料单编号:</w:t>
            </w:r>
          </w:p>
        </w:tc>
        <w:tc>
          <w:tcPr>
            <w:tcW w:w="1926" w:type="dxa"/>
            <w:gridSpan w:val="3"/>
            <w:noWrap w:val="0"/>
            <w:vAlign w:val="bottom"/>
          </w:tcPr>
          <w:p>
            <w:pPr>
              <w:autoSpaceDN w:val="0"/>
              <w:adjustRightInd w:val="0"/>
              <w:snapToGrid w:val="0"/>
              <w:spacing w:line="300" w:lineRule="auto"/>
              <w:jc w:val="center"/>
              <w:textAlignment w:val="bottom"/>
              <w:rPr>
                <w:rFonts w:ascii="宋体" w:hAnsi="宋体"/>
                <w:szCs w:val="21"/>
              </w:rPr>
            </w:pPr>
            <w:r>
              <w:rPr>
                <w:rFonts w:ascii="宋体" w:hAnsi="宋体"/>
                <w:szCs w:val="21"/>
              </w:rPr>
              <w:t xml:space="preserve"> </w:t>
            </w:r>
          </w:p>
        </w:tc>
        <w:tc>
          <w:tcPr>
            <w:tcW w:w="943" w:type="dxa"/>
            <w:noWrap w:val="0"/>
            <w:vAlign w:val="bottom"/>
          </w:tcPr>
          <w:p>
            <w:pPr>
              <w:autoSpaceDN w:val="0"/>
              <w:adjustRightInd w:val="0"/>
              <w:snapToGrid w:val="0"/>
              <w:spacing w:line="300" w:lineRule="auto"/>
              <w:jc w:val="left"/>
              <w:textAlignment w:val="bottom"/>
              <w:rPr>
                <w:rFonts w:ascii="宋体" w:hAnsi="宋体"/>
                <w:szCs w:val="21"/>
              </w:rPr>
            </w:pPr>
            <w:r>
              <w:rPr>
                <w:rFonts w:ascii="宋体" w:hAnsi="宋体"/>
                <w:szCs w:val="21"/>
              </w:rPr>
              <w:t>版号:</w:t>
            </w:r>
          </w:p>
        </w:tc>
        <w:tc>
          <w:tcPr>
            <w:tcW w:w="540" w:type="dxa"/>
            <w:noWrap w:val="0"/>
            <w:vAlign w:val="bottom"/>
          </w:tcPr>
          <w:p>
            <w:pPr>
              <w:autoSpaceDN w:val="0"/>
              <w:adjustRightInd w:val="0"/>
              <w:snapToGrid w:val="0"/>
              <w:spacing w:line="300" w:lineRule="auto"/>
              <w:jc w:val="center"/>
              <w:textAlignment w:val="bottom"/>
              <w:rPr>
                <w:rFonts w:ascii="宋体" w:hAnsi="宋体"/>
                <w:szCs w:val="21"/>
              </w:rPr>
            </w:pPr>
          </w:p>
        </w:tc>
        <w:tc>
          <w:tcPr>
            <w:tcW w:w="707" w:type="dxa"/>
            <w:noWrap w:val="0"/>
            <w:vAlign w:val="bottom"/>
          </w:tcPr>
          <w:p>
            <w:pPr>
              <w:autoSpaceDN w:val="0"/>
              <w:adjustRightInd w:val="0"/>
              <w:snapToGrid w:val="0"/>
              <w:spacing w:line="300" w:lineRule="auto"/>
              <w:jc w:val="right"/>
              <w:textAlignment w:val="bottom"/>
              <w:rPr>
                <w:rFonts w:ascii="宋体" w:hAnsi="宋体"/>
                <w:szCs w:val="21"/>
              </w:rPr>
            </w:pPr>
            <w:r>
              <w:rPr>
                <w:rFonts w:ascii="宋体" w:hAnsi="宋体"/>
                <w:szCs w:val="21"/>
              </w:rPr>
              <w:t>数量:</w:t>
            </w:r>
          </w:p>
        </w:tc>
        <w:tc>
          <w:tcPr>
            <w:tcW w:w="943" w:type="dxa"/>
            <w:noWrap w:val="0"/>
            <w:vAlign w:val="bottom"/>
          </w:tcPr>
          <w:p>
            <w:pPr>
              <w:autoSpaceDN w:val="0"/>
              <w:adjustRightInd w:val="0"/>
              <w:snapToGrid w:val="0"/>
              <w:spacing w:line="300" w:lineRule="auto"/>
              <w:jc w:val="center"/>
              <w:textAlignment w:val="bottom"/>
              <w:rPr>
                <w:szCs w:val="21"/>
              </w:rPr>
            </w:pPr>
          </w:p>
        </w:tc>
      </w:tr>
      <w:tr>
        <w:tblPrEx>
          <w:tblCellMar>
            <w:top w:w="0" w:type="dxa"/>
            <w:left w:w="108" w:type="dxa"/>
            <w:bottom w:w="0" w:type="dxa"/>
            <w:right w:w="108" w:type="dxa"/>
          </w:tblCellMar>
        </w:tblPrEx>
        <w:trPr>
          <w:trHeight w:val="495" w:hRule="atLeast"/>
        </w:trPr>
        <w:tc>
          <w:tcPr>
            <w:tcW w:w="2505" w:type="dxa"/>
            <w:gridSpan w:val="3"/>
            <w:noWrap w:val="0"/>
            <w:vAlign w:val="bottom"/>
          </w:tcPr>
          <w:p>
            <w:pPr>
              <w:autoSpaceDN w:val="0"/>
              <w:adjustRightInd w:val="0"/>
              <w:snapToGrid w:val="0"/>
              <w:spacing w:line="300" w:lineRule="auto"/>
              <w:jc w:val="left"/>
              <w:textAlignment w:val="bottom"/>
              <w:rPr>
                <w:rFonts w:ascii="宋体" w:hAnsi="宋体"/>
                <w:szCs w:val="21"/>
              </w:rPr>
            </w:pPr>
            <w:r>
              <w:rPr>
                <w:rFonts w:ascii="宋体" w:hAnsi="宋体"/>
                <w:szCs w:val="21"/>
              </w:rPr>
              <w:t>发货地点：</w:t>
            </w:r>
          </w:p>
        </w:tc>
        <w:tc>
          <w:tcPr>
            <w:tcW w:w="1080" w:type="dxa"/>
            <w:noWrap w:val="0"/>
            <w:vAlign w:val="bottom"/>
          </w:tcPr>
          <w:p>
            <w:pPr>
              <w:autoSpaceDN w:val="0"/>
              <w:adjustRightInd w:val="0"/>
              <w:snapToGrid w:val="0"/>
              <w:spacing w:line="300" w:lineRule="auto"/>
              <w:jc w:val="left"/>
              <w:textAlignment w:val="bottom"/>
              <w:rPr>
                <w:rFonts w:ascii="宋体" w:hAnsi="宋体"/>
                <w:szCs w:val="21"/>
              </w:rPr>
            </w:pPr>
            <w:r>
              <w:rPr>
                <w:rFonts w:ascii="宋体" w:hAnsi="宋体"/>
                <w:szCs w:val="21"/>
              </w:rPr>
              <w:t>颜色:</w:t>
            </w:r>
          </w:p>
        </w:tc>
        <w:tc>
          <w:tcPr>
            <w:tcW w:w="1926" w:type="dxa"/>
            <w:gridSpan w:val="3"/>
            <w:noWrap w:val="0"/>
            <w:vAlign w:val="bottom"/>
          </w:tcPr>
          <w:p>
            <w:pPr>
              <w:autoSpaceDN w:val="0"/>
              <w:adjustRightInd w:val="0"/>
              <w:snapToGrid w:val="0"/>
              <w:spacing w:line="300" w:lineRule="auto"/>
              <w:jc w:val="center"/>
              <w:textAlignment w:val="bottom"/>
              <w:rPr>
                <w:rFonts w:ascii="宋体" w:hAnsi="宋体"/>
                <w:szCs w:val="21"/>
              </w:rPr>
            </w:pPr>
          </w:p>
        </w:tc>
        <w:tc>
          <w:tcPr>
            <w:tcW w:w="943" w:type="dxa"/>
            <w:noWrap w:val="0"/>
            <w:vAlign w:val="bottom"/>
          </w:tcPr>
          <w:p>
            <w:pPr>
              <w:autoSpaceDN w:val="0"/>
              <w:adjustRightInd w:val="0"/>
              <w:snapToGrid w:val="0"/>
              <w:spacing w:line="300" w:lineRule="auto"/>
              <w:jc w:val="center"/>
              <w:textAlignment w:val="bottom"/>
              <w:rPr>
                <w:rFonts w:ascii="宋体" w:hAnsi="宋体"/>
                <w:szCs w:val="21"/>
              </w:rPr>
            </w:pPr>
            <w:r>
              <w:rPr>
                <w:rFonts w:ascii="宋体" w:hAnsi="宋体"/>
                <w:szCs w:val="21"/>
              </w:rPr>
              <w:t>板厚：</w:t>
            </w:r>
          </w:p>
        </w:tc>
        <w:tc>
          <w:tcPr>
            <w:tcW w:w="540" w:type="dxa"/>
            <w:noWrap w:val="0"/>
            <w:vAlign w:val="bottom"/>
          </w:tcPr>
          <w:p>
            <w:pPr>
              <w:autoSpaceDN w:val="0"/>
              <w:adjustRightInd w:val="0"/>
              <w:snapToGrid w:val="0"/>
              <w:spacing w:line="300" w:lineRule="auto"/>
              <w:jc w:val="center"/>
              <w:textAlignment w:val="bottom"/>
              <w:rPr>
                <w:rFonts w:ascii="宋体" w:hAnsi="宋体"/>
                <w:szCs w:val="21"/>
              </w:rPr>
            </w:pPr>
          </w:p>
        </w:tc>
        <w:tc>
          <w:tcPr>
            <w:tcW w:w="707" w:type="dxa"/>
            <w:noWrap w:val="0"/>
            <w:vAlign w:val="bottom"/>
          </w:tcPr>
          <w:p>
            <w:pPr>
              <w:autoSpaceDN w:val="0"/>
              <w:adjustRightInd w:val="0"/>
              <w:snapToGrid w:val="0"/>
              <w:spacing w:line="300" w:lineRule="auto"/>
              <w:jc w:val="right"/>
              <w:textAlignment w:val="bottom"/>
              <w:rPr>
                <w:rFonts w:ascii="宋体" w:hAnsi="宋体"/>
                <w:szCs w:val="21"/>
              </w:rPr>
            </w:pPr>
            <w:r>
              <w:rPr>
                <w:rFonts w:ascii="宋体" w:hAnsi="宋体"/>
                <w:szCs w:val="21"/>
              </w:rPr>
              <w:t>面积:</w:t>
            </w:r>
          </w:p>
        </w:tc>
        <w:tc>
          <w:tcPr>
            <w:tcW w:w="943" w:type="dxa"/>
            <w:noWrap w:val="0"/>
            <w:vAlign w:val="bottom"/>
          </w:tcPr>
          <w:p>
            <w:pPr>
              <w:autoSpaceDN w:val="0"/>
              <w:adjustRightInd w:val="0"/>
              <w:snapToGrid w:val="0"/>
              <w:spacing w:line="300" w:lineRule="auto"/>
              <w:jc w:val="center"/>
              <w:textAlignment w:val="bottom"/>
              <w:rPr>
                <w:szCs w:val="21"/>
              </w:rPr>
            </w:pPr>
          </w:p>
        </w:tc>
      </w:tr>
      <w:tr>
        <w:tblPrEx>
          <w:tblCellMar>
            <w:top w:w="0" w:type="dxa"/>
            <w:left w:w="108" w:type="dxa"/>
            <w:bottom w:w="0" w:type="dxa"/>
            <w:right w:w="108" w:type="dxa"/>
          </w:tblCellMar>
        </w:tblPrEx>
        <w:trPr>
          <w:trHeight w:val="285"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序号</w:t>
            </w:r>
          </w:p>
        </w:tc>
        <w:tc>
          <w:tcPr>
            <w:tcW w:w="894"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板号</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板型</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图号</w:t>
            </w:r>
          </w:p>
        </w:tc>
        <w:tc>
          <w:tcPr>
            <w:tcW w:w="58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数量</w:t>
            </w:r>
          </w:p>
        </w:tc>
        <w:tc>
          <w:tcPr>
            <w:tcW w:w="628"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单件面积</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小计</w:t>
            </w:r>
            <w:r>
              <w:rPr>
                <w:szCs w:val="21"/>
              </w:rPr>
              <w:t>(m</w:t>
            </w:r>
            <w:r>
              <w:rPr>
                <w:szCs w:val="21"/>
                <w:vertAlign w:val="superscript"/>
              </w:rPr>
              <w:t>2</w:t>
            </w:r>
            <w:r>
              <w:rPr>
                <w:szCs w:val="21"/>
              </w:rPr>
              <w:t>)</w:t>
            </w: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铣槽</w:t>
            </w:r>
          </w:p>
        </w:tc>
        <w:tc>
          <w:tcPr>
            <w:tcW w:w="54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通焊</w:t>
            </w:r>
          </w:p>
        </w:tc>
        <w:tc>
          <w:tcPr>
            <w:tcW w:w="707"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超宽</w:t>
            </w: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提料单号</w:t>
            </w:r>
          </w:p>
        </w:tc>
      </w:tr>
      <w:tr>
        <w:tblPrEx>
          <w:tblCellMar>
            <w:top w:w="0" w:type="dxa"/>
            <w:left w:w="108" w:type="dxa"/>
            <w:bottom w:w="0" w:type="dxa"/>
            <w:right w:w="108" w:type="dxa"/>
          </w:tblCellMar>
        </w:tblPrEx>
        <w:trPr>
          <w:trHeight w:val="255"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1</w:t>
            </w:r>
          </w:p>
        </w:tc>
        <w:tc>
          <w:tcPr>
            <w:tcW w:w="894"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r>
      <w:tr>
        <w:tblPrEx>
          <w:tblCellMar>
            <w:top w:w="0" w:type="dxa"/>
            <w:left w:w="108" w:type="dxa"/>
            <w:bottom w:w="0" w:type="dxa"/>
            <w:right w:w="108" w:type="dxa"/>
          </w:tblCellMar>
        </w:tblPrEx>
        <w:trPr>
          <w:trHeight w:val="255"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2</w:t>
            </w:r>
          </w:p>
        </w:tc>
        <w:tc>
          <w:tcPr>
            <w:tcW w:w="894"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r>
      <w:tr>
        <w:tblPrEx>
          <w:tblCellMar>
            <w:top w:w="0" w:type="dxa"/>
            <w:left w:w="108" w:type="dxa"/>
            <w:bottom w:w="0" w:type="dxa"/>
            <w:right w:w="108" w:type="dxa"/>
          </w:tblCellMar>
        </w:tblPrEx>
        <w:trPr>
          <w:trHeight w:val="255"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3</w:t>
            </w:r>
          </w:p>
        </w:tc>
        <w:tc>
          <w:tcPr>
            <w:tcW w:w="894"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r>
      <w:tr>
        <w:tblPrEx>
          <w:tblCellMar>
            <w:top w:w="0" w:type="dxa"/>
            <w:left w:w="108" w:type="dxa"/>
            <w:bottom w:w="0" w:type="dxa"/>
            <w:right w:w="108" w:type="dxa"/>
          </w:tblCellMar>
        </w:tblPrEx>
        <w:trPr>
          <w:trHeight w:val="255"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4</w:t>
            </w:r>
          </w:p>
        </w:tc>
        <w:tc>
          <w:tcPr>
            <w:tcW w:w="894"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r>
      <w:tr>
        <w:tblPrEx>
          <w:tblCellMar>
            <w:top w:w="0" w:type="dxa"/>
            <w:left w:w="108" w:type="dxa"/>
            <w:bottom w:w="0" w:type="dxa"/>
            <w:right w:w="108" w:type="dxa"/>
          </w:tblCellMar>
        </w:tblPrEx>
        <w:trPr>
          <w:trHeight w:val="255"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5</w:t>
            </w:r>
          </w:p>
        </w:tc>
        <w:tc>
          <w:tcPr>
            <w:tcW w:w="894"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r>
      <w:tr>
        <w:tblPrEx>
          <w:tblCellMar>
            <w:top w:w="0" w:type="dxa"/>
            <w:left w:w="108" w:type="dxa"/>
            <w:bottom w:w="0" w:type="dxa"/>
            <w:right w:w="108" w:type="dxa"/>
          </w:tblCellMar>
        </w:tblPrEx>
        <w:trPr>
          <w:trHeight w:val="255"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6</w:t>
            </w:r>
          </w:p>
        </w:tc>
        <w:tc>
          <w:tcPr>
            <w:tcW w:w="894"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r>
      <w:tr>
        <w:tblPrEx>
          <w:tblCellMar>
            <w:top w:w="0" w:type="dxa"/>
            <w:left w:w="108" w:type="dxa"/>
            <w:bottom w:w="0" w:type="dxa"/>
            <w:right w:w="108" w:type="dxa"/>
          </w:tblCellMar>
        </w:tblPrEx>
        <w:trPr>
          <w:trHeight w:val="255"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7</w:t>
            </w:r>
          </w:p>
        </w:tc>
        <w:tc>
          <w:tcPr>
            <w:tcW w:w="894"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r>
      <w:tr>
        <w:tblPrEx>
          <w:tblCellMar>
            <w:top w:w="0" w:type="dxa"/>
            <w:left w:w="108" w:type="dxa"/>
            <w:bottom w:w="0" w:type="dxa"/>
            <w:right w:w="108" w:type="dxa"/>
          </w:tblCellMar>
        </w:tblPrEx>
        <w:trPr>
          <w:trHeight w:val="255"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8</w:t>
            </w:r>
          </w:p>
        </w:tc>
        <w:tc>
          <w:tcPr>
            <w:tcW w:w="894"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r>
      <w:tr>
        <w:tblPrEx>
          <w:tblCellMar>
            <w:top w:w="0" w:type="dxa"/>
            <w:left w:w="108" w:type="dxa"/>
            <w:bottom w:w="0" w:type="dxa"/>
            <w:right w:w="108" w:type="dxa"/>
          </w:tblCellMar>
        </w:tblPrEx>
        <w:trPr>
          <w:trHeight w:val="255"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9</w:t>
            </w:r>
          </w:p>
        </w:tc>
        <w:tc>
          <w:tcPr>
            <w:tcW w:w="894"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r>
      <w:tr>
        <w:tblPrEx>
          <w:tblCellMar>
            <w:top w:w="0" w:type="dxa"/>
            <w:left w:w="108" w:type="dxa"/>
            <w:bottom w:w="0" w:type="dxa"/>
            <w:right w:w="108" w:type="dxa"/>
          </w:tblCellMar>
        </w:tblPrEx>
        <w:trPr>
          <w:trHeight w:val="255" w:hRule="atLeast"/>
        </w:trPr>
        <w:tc>
          <w:tcPr>
            <w:tcW w:w="53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r>
              <w:rPr>
                <w:rFonts w:ascii="宋体" w:hAnsi="宋体"/>
                <w:szCs w:val="21"/>
              </w:rPr>
              <w:t>10</w:t>
            </w:r>
          </w:p>
        </w:tc>
        <w:tc>
          <w:tcPr>
            <w:tcW w:w="894"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8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c>
          <w:tcPr>
            <w:tcW w:w="943" w:type="dxa"/>
            <w:tcBorders>
              <w:top w:val="single" w:color="auto" w:sz="4" w:space="0"/>
              <w:left w:val="single" w:color="auto" w:sz="4" w:space="0"/>
              <w:bottom w:val="single" w:color="auto" w:sz="4" w:space="0"/>
              <w:right w:val="single" w:color="auto" w:sz="4" w:space="0"/>
            </w:tcBorders>
            <w:noWrap w:val="0"/>
            <w:vAlign w:val="center"/>
          </w:tcPr>
          <w:p>
            <w:pPr>
              <w:autoSpaceDN w:val="0"/>
              <w:adjustRightInd w:val="0"/>
              <w:snapToGrid w:val="0"/>
              <w:spacing w:line="300" w:lineRule="auto"/>
              <w:jc w:val="center"/>
              <w:textAlignment w:val="center"/>
              <w:rPr>
                <w:rFonts w:ascii="宋体" w:hAnsi="宋体"/>
                <w:szCs w:val="21"/>
              </w:rPr>
            </w:pPr>
          </w:p>
        </w:tc>
      </w:tr>
    </w:tbl>
    <w:p>
      <w:pPr>
        <w:adjustRightInd w:val="0"/>
        <w:snapToGrid w:val="0"/>
        <w:spacing w:line="300" w:lineRule="auto"/>
        <w:ind w:right="-286" w:rightChars="-136"/>
        <w:rPr>
          <w:szCs w:val="21"/>
        </w:rPr>
      </w:pPr>
      <w:r>
        <w:rPr>
          <w:rFonts w:hint="eastAsia"/>
          <w:szCs w:val="21"/>
        </w:rPr>
        <w:t>编制：                     审核：                      批准：</w:t>
      </w:r>
    </w:p>
    <w:p>
      <w:pPr>
        <w:adjustRightInd w:val="0"/>
        <w:snapToGrid w:val="0"/>
        <w:spacing w:line="300" w:lineRule="auto"/>
        <w:ind w:right="-286" w:rightChars="-136"/>
        <w:rPr>
          <w:szCs w:val="21"/>
        </w:rPr>
      </w:pPr>
    </w:p>
    <w:p>
      <w:pPr>
        <w:adjustRightInd w:val="0"/>
        <w:snapToGrid w:val="0"/>
        <w:spacing w:line="300" w:lineRule="auto"/>
        <w:ind w:right="-286" w:rightChars="-136"/>
        <w:rPr>
          <w:szCs w:val="21"/>
        </w:rPr>
      </w:pPr>
    </w:p>
    <w:p>
      <w:pPr>
        <w:adjustRightInd w:val="0"/>
        <w:snapToGrid w:val="0"/>
        <w:spacing w:line="300" w:lineRule="auto"/>
        <w:ind w:right="-286" w:rightChars="-136"/>
        <w:rPr>
          <w:szCs w:val="21"/>
        </w:rPr>
      </w:pPr>
    </w:p>
    <w:p>
      <w:pPr>
        <w:adjustRightInd w:val="0"/>
        <w:snapToGrid w:val="0"/>
        <w:spacing w:line="300" w:lineRule="auto"/>
        <w:ind w:right="-286" w:rightChars="-136"/>
        <w:rPr>
          <w:szCs w:val="21"/>
        </w:rPr>
      </w:pPr>
    </w:p>
    <w:p>
      <w:pPr>
        <w:adjustRightInd w:val="0"/>
        <w:snapToGrid w:val="0"/>
        <w:spacing w:line="300" w:lineRule="auto"/>
        <w:ind w:right="-286" w:rightChars="-136"/>
        <w:rPr>
          <w:szCs w:val="21"/>
        </w:rPr>
      </w:pPr>
    </w:p>
    <w:p>
      <w:pPr>
        <w:adjustRightInd w:val="0"/>
        <w:snapToGrid w:val="0"/>
        <w:spacing w:line="300" w:lineRule="auto"/>
        <w:ind w:right="-286" w:rightChars="-136"/>
        <w:rPr>
          <w:szCs w:val="21"/>
        </w:rPr>
      </w:pPr>
    </w:p>
    <w:p>
      <w:pPr>
        <w:adjustRightInd w:val="0"/>
        <w:snapToGrid w:val="0"/>
        <w:spacing w:line="300" w:lineRule="auto"/>
        <w:ind w:right="-286" w:rightChars="-136"/>
        <w:rPr>
          <w:sz w:val="24"/>
        </w:rPr>
      </w:pPr>
    </w:p>
    <w:p>
      <w:pPr>
        <w:adjustRightInd w:val="0"/>
        <w:snapToGrid w:val="0"/>
        <w:spacing w:line="300" w:lineRule="auto"/>
        <w:ind w:right="-286" w:rightChars="-136"/>
        <w:rPr>
          <w:sz w:val="24"/>
        </w:rPr>
      </w:pPr>
    </w:p>
    <w:p>
      <w:pPr>
        <w:adjustRightInd w:val="0"/>
        <w:snapToGrid w:val="0"/>
        <w:spacing w:line="300" w:lineRule="auto"/>
        <w:ind w:right="-286" w:rightChars="-136"/>
        <w:rPr>
          <w:sz w:val="24"/>
        </w:rPr>
      </w:pPr>
    </w:p>
    <w:p>
      <w:pPr>
        <w:adjustRightInd w:val="0"/>
        <w:snapToGrid w:val="0"/>
        <w:spacing w:line="300" w:lineRule="auto"/>
        <w:ind w:right="-286" w:rightChars="-136"/>
        <w:rPr>
          <w:sz w:val="24"/>
        </w:rPr>
      </w:pPr>
    </w:p>
    <w:p>
      <w:pPr>
        <w:adjustRightInd w:val="0"/>
        <w:snapToGrid w:val="0"/>
        <w:spacing w:line="300" w:lineRule="auto"/>
        <w:ind w:right="-286" w:rightChars="-136"/>
        <w:rPr>
          <w:sz w:val="24"/>
        </w:rPr>
      </w:pPr>
    </w:p>
    <w:p>
      <w:pPr>
        <w:adjustRightInd w:val="0"/>
        <w:snapToGrid w:val="0"/>
        <w:spacing w:line="300" w:lineRule="auto"/>
        <w:ind w:right="-286" w:rightChars="-136"/>
        <w:rPr>
          <w:sz w:val="24"/>
        </w:rPr>
      </w:pPr>
    </w:p>
    <w:p>
      <w:pPr>
        <w:adjustRightInd w:val="0"/>
        <w:snapToGrid w:val="0"/>
        <w:spacing w:line="300" w:lineRule="auto"/>
        <w:ind w:right="-286" w:rightChars="-136"/>
        <w:rPr>
          <w:sz w:val="24"/>
        </w:rPr>
      </w:pPr>
    </w:p>
    <w:p>
      <w:pPr>
        <w:adjustRightInd w:val="0"/>
        <w:snapToGrid w:val="0"/>
        <w:spacing w:line="300" w:lineRule="auto"/>
        <w:ind w:right="-286" w:rightChars="-136"/>
        <w:rPr>
          <w:sz w:val="24"/>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rFonts w:ascii="宋体" w:hAnsi="宋体"/>
          <w:sz w:val="28"/>
          <w:szCs w:val="28"/>
        </w:rPr>
      </w:pPr>
      <w:r>
        <w:rPr>
          <w:rFonts w:hint="eastAsia"/>
          <w:sz w:val="28"/>
        </w:rPr>
        <w:t>合同附件</w:t>
      </w:r>
      <w:r>
        <w:rPr>
          <w:rFonts w:hint="eastAsia"/>
          <w:sz w:val="28"/>
          <w:lang w:val="en-US" w:eastAsia="zh-CN"/>
        </w:rPr>
        <w:t>5</w:t>
      </w:r>
      <w:r>
        <w:rPr>
          <w:rFonts w:hint="eastAsia"/>
          <w:sz w:val="28"/>
        </w:rPr>
        <w:t>:</w:t>
      </w:r>
      <w:r>
        <w:rPr>
          <w:rFonts w:hint="eastAsia" w:ascii="宋体" w:hAnsi="宋体"/>
          <w:sz w:val="28"/>
          <w:szCs w:val="28"/>
        </w:rPr>
        <w:t>诚信廉洁承诺书</w:t>
      </w:r>
    </w:p>
    <w:p>
      <w:pPr>
        <w:adjustRightInd w:val="0"/>
        <w:snapToGrid w:val="0"/>
        <w:spacing w:line="300" w:lineRule="auto"/>
        <w:rPr>
          <w:rFonts w:eastAsia="黑体"/>
          <w:sz w:val="28"/>
          <w:szCs w:val="28"/>
        </w:rPr>
      </w:pPr>
    </w:p>
    <w:p>
      <w:pPr>
        <w:adjustRightInd w:val="0"/>
        <w:snapToGrid w:val="0"/>
        <w:spacing w:line="300" w:lineRule="auto"/>
        <w:jc w:val="center"/>
        <w:rPr>
          <w:rFonts w:eastAsia="黑体"/>
          <w:b/>
          <w:sz w:val="44"/>
        </w:rPr>
      </w:pPr>
      <w:r>
        <w:rPr>
          <w:rFonts w:hint="eastAsia" w:eastAsia="黑体"/>
          <w:b/>
          <w:sz w:val="44"/>
        </w:rPr>
        <w:t>诚信廉洁承诺书</w:t>
      </w:r>
    </w:p>
    <w:p>
      <w:pPr>
        <w:adjustRightInd w:val="0"/>
        <w:snapToGrid w:val="0"/>
        <w:spacing w:line="300" w:lineRule="auto"/>
        <w:textAlignment w:val="baseline"/>
        <w:rPr>
          <w:rFonts w:ascii="宋体" w:hAnsi="宋体"/>
          <w:sz w:val="28"/>
        </w:rPr>
      </w:pPr>
    </w:p>
    <w:p>
      <w:pPr>
        <w:adjustRightInd w:val="0"/>
        <w:snapToGrid w:val="0"/>
        <w:spacing w:line="300" w:lineRule="auto"/>
        <w:textAlignment w:val="baseline"/>
        <w:rPr>
          <w:rFonts w:ascii="宋体" w:hAnsi="宋体"/>
          <w:sz w:val="28"/>
        </w:rPr>
      </w:pPr>
      <w:r>
        <w:rPr>
          <w:rFonts w:hint="eastAsia" w:ascii="宋体" w:hAnsi="宋体"/>
          <w:sz w:val="28"/>
        </w:rPr>
        <w:t>致：方大新材料（江西）有限公司</w:t>
      </w:r>
    </w:p>
    <w:p>
      <w:pPr>
        <w:adjustRightInd w:val="0"/>
        <w:snapToGrid w:val="0"/>
        <w:spacing w:line="300" w:lineRule="auto"/>
        <w:ind w:firstLine="560" w:firstLineChars="200"/>
        <w:textAlignment w:val="baseline"/>
        <w:rPr>
          <w:rFonts w:ascii="宋体" w:hAnsi="宋体"/>
          <w:sz w:val="28"/>
        </w:rPr>
      </w:pPr>
      <w:r>
        <w:rPr>
          <w:rFonts w:hint="eastAsia" w:ascii="宋体" w:hAnsi="宋体"/>
          <w:sz w:val="28"/>
        </w:rPr>
        <w:t>我司在与贵司合作期间，为保证在与贵司的经济往来中廉洁守法，遵守贵司的廉洁制度，我司特作如下承诺：</w:t>
      </w:r>
    </w:p>
    <w:p>
      <w:pPr>
        <w:adjustRightInd w:val="0"/>
        <w:snapToGrid w:val="0"/>
        <w:spacing w:line="300" w:lineRule="auto"/>
        <w:ind w:firstLine="560" w:firstLineChars="200"/>
        <w:textAlignment w:val="baseline"/>
        <w:rPr>
          <w:rFonts w:ascii="宋体" w:hAnsi="宋体"/>
          <w:sz w:val="28"/>
        </w:rPr>
      </w:pPr>
      <w:r>
        <w:rPr>
          <w:rFonts w:hint="eastAsia" w:ascii="宋体" w:hAnsi="宋体"/>
          <w:sz w:val="28"/>
        </w:rPr>
        <w:t>1、我司不以任何名义宴请贵司的工作人员。</w:t>
      </w:r>
    </w:p>
    <w:p>
      <w:pPr>
        <w:adjustRightInd w:val="0"/>
        <w:snapToGrid w:val="0"/>
        <w:spacing w:line="300" w:lineRule="auto"/>
        <w:ind w:firstLine="560" w:firstLineChars="200"/>
        <w:textAlignment w:val="baseline"/>
        <w:rPr>
          <w:rFonts w:ascii="宋体" w:hAnsi="宋体"/>
          <w:sz w:val="28"/>
        </w:rPr>
      </w:pPr>
      <w:r>
        <w:rPr>
          <w:rFonts w:hint="eastAsia" w:ascii="宋体" w:hAnsi="宋体"/>
          <w:sz w:val="28"/>
        </w:rPr>
        <w:t>2、我司不对贵司工作人员进行任何贿赂（包括但不限于礼金、回扣、佣金等）。如我司违反上述承诺，贵司可无条件终止合作。</w:t>
      </w:r>
    </w:p>
    <w:p>
      <w:pPr>
        <w:adjustRightInd w:val="0"/>
        <w:snapToGrid w:val="0"/>
        <w:spacing w:line="300" w:lineRule="auto"/>
        <w:ind w:firstLine="560" w:firstLineChars="200"/>
        <w:textAlignment w:val="baseline"/>
        <w:rPr>
          <w:rFonts w:ascii="宋体" w:hAnsi="宋体"/>
          <w:sz w:val="28"/>
        </w:rPr>
      </w:pPr>
      <w:r>
        <w:rPr>
          <w:rFonts w:hint="eastAsia" w:ascii="宋体" w:hAnsi="宋体"/>
          <w:sz w:val="28"/>
        </w:rPr>
        <w:t>3、贵司工作人员如向我司索取宴请、娱乐及其他贿赂（包括但不限于礼金、回扣、佣金等），我司将予以拒绝，并及时向贵司投诉。</w:t>
      </w:r>
    </w:p>
    <w:p>
      <w:pPr>
        <w:adjustRightInd w:val="0"/>
        <w:snapToGrid w:val="0"/>
        <w:spacing w:line="300" w:lineRule="auto"/>
        <w:ind w:firstLine="560" w:firstLineChars="200"/>
        <w:textAlignment w:val="baseline"/>
        <w:rPr>
          <w:rFonts w:ascii="宋体" w:hAnsi="宋体"/>
          <w:sz w:val="28"/>
        </w:rPr>
      </w:pPr>
      <w:r>
        <w:rPr>
          <w:rFonts w:hint="eastAsia" w:ascii="宋体" w:hAnsi="宋体"/>
          <w:sz w:val="28"/>
        </w:rPr>
        <w:t>4、本承诺书作为合作期内我司与贵司所签订合同的附件，与合同具有同等之效力。</w:t>
      </w:r>
    </w:p>
    <w:p>
      <w:pPr>
        <w:adjustRightInd w:val="0"/>
        <w:snapToGrid w:val="0"/>
        <w:spacing w:line="300" w:lineRule="auto"/>
        <w:ind w:firstLine="560" w:firstLineChars="200"/>
        <w:textAlignment w:val="baseline"/>
        <w:rPr>
          <w:rFonts w:ascii="宋体" w:hAnsi="宋体"/>
          <w:sz w:val="28"/>
        </w:rPr>
      </w:pPr>
      <w:r>
        <w:rPr>
          <w:rFonts w:hint="eastAsia" w:ascii="宋体" w:hAnsi="宋体"/>
          <w:sz w:val="28"/>
        </w:rPr>
        <w:t>5、本承诺书在与贵司合作期间长期有效。</w:t>
      </w:r>
    </w:p>
    <w:p>
      <w:pPr>
        <w:adjustRightInd w:val="0"/>
        <w:snapToGrid w:val="0"/>
        <w:spacing w:line="300" w:lineRule="auto"/>
        <w:ind w:firstLine="560" w:firstLineChars="200"/>
        <w:textAlignment w:val="baseline"/>
        <w:rPr>
          <w:rFonts w:ascii="宋体" w:hAnsi="宋体"/>
          <w:sz w:val="28"/>
        </w:rPr>
      </w:pPr>
      <w:r>
        <w:rPr>
          <w:rFonts w:hint="eastAsia" w:ascii="宋体" w:hAnsi="宋体"/>
          <w:sz w:val="28"/>
        </w:rPr>
        <w:t>6、方大集团举报投诉电话：0755-26785551。</w:t>
      </w:r>
    </w:p>
    <w:p>
      <w:pPr>
        <w:adjustRightInd w:val="0"/>
        <w:snapToGrid w:val="0"/>
        <w:spacing w:line="300" w:lineRule="auto"/>
        <w:textAlignment w:val="baseline"/>
        <w:rPr>
          <w:rFonts w:ascii="宋体" w:hAnsi="宋体"/>
          <w:sz w:val="28"/>
        </w:rPr>
      </w:pPr>
    </w:p>
    <w:p>
      <w:pPr>
        <w:adjustRightInd w:val="0"/>
        <w:snapToGrid w:val="0"/>
        <w:spacing w:line="300" w:lineRule="auto"/>
        <w:textAlignment w:val="baseline"/>
        <w:rPr>
          <w:rFonts w:ascii="宋体" w:hAnsi="宋体"/>
          <w:sz w:val="28"/>
        </w:rPr>
      </w:pPr>
    </w:p>
    <w:p>
      <w:pPr>
        <w:adjustRightInd w:val="0"/>
        <w:snapToGrid w:val="0"/>
        <w:spacing w:line="300" w:lineRule="auto"/>
        <w:textAlignment w:val="baseline"/>
        <w:rPr>
          <w:rFonts w:ascii="宋体" w:hAnsi="宋体"/>
          <w:sz w:val="28"/>
        </w:rPr>
      </w:pPr>
    </w:p>
    <w:p>
      <w:pPr>
        <w:adjustRightInd w:val="0"/>
        <w:snapToGrid w:val="0"/>
        <w:spacing w:line="300" w:lineRule="auto"/>
        <w:rPr>
          <w:rFonts w:ascii="宋体" w:hAnsi="宋体"/>
          <w:sz w:val="28"/>
        </w:rPr>
      </w:pPr>
      <w:r>
        <w:rPr>
          <w:rFonts w:hint="eastAsia" w:ascii="宋体" w:hAnsi="宋体"/>
          <w:sz w:val="28"/>
        </w:rPr>
        <w:t xml:space="preserve">                                    承诺单位（盖章）：</w:t>
      </w:r>
    </w:p>
    <w:p>
      <w:pPr>
        <w:adjustRightInd w:val="0"/>
        <w:snapToGrid w:val="0"/>
        <w:spacing w:line="300" w:lineRule="auto"/>
        <w:rPr>
          <w:rFonts w:ascii="宋体" w:hAnsi="宋体"/>
          <w:sz w:val="28"/>
        </w:rPr>
      </w:pPr>
    </w:p>
    <w:p>
      <w:pPr>
        <w:adjustRightInd w:val="0"/>
        <w:snapToGrid w:val="0"/>
        <w:spacing w:line="300" w:lineRule="auto"/>
        <w:rPr>
          <w:rFonts w:ascii="宋体" w:hAnsi="宋体"/>
          <w:sz w:val="28"/>
        </w:rPr>
      </w:pPr>
      <w:r>
        <w:rPr>
          <w:rFonts w:hint="eastAsia" w:ascii="宋体" w:hAnsi="宋体"/>
          <w:sz w:val="28"/>
        </w:rPr>
        <w:t xml:space="preserve">                                       法定代表人签字：</w:t>
      </w:r>
    </w:p>
    <w:p>
      <w:pPr>
        <w:adjustRightInd w:val="0"/>
        <w:snapToGrid w:val="0"/>
        <w:spacing w:line="300" w:lineRule="auto"/>
        <w:rPr>
          <w:rFonts w:ascii="宋体" w:hAnsi="宋体"/>
          <w:sz w:val="28"/>
        </w:rPr>
      </w:pPr>
    </w:p>
    <w:p>
      <w:pPr>
        <w:adjustRightInd w:val="0"/>
        <w:snapToGrid w:val="0"/>
        <w:spacing w:line="300" w:lineRule="auto"/>
        <w:rPr>
          <w:rFonts w:ascii="宋体" w:hAnsi="宋体"/>
          <w:sz w:val="28"/>
        </w:rPr>
      </w:pPr>
      <w:r>
        <w:rPr>
          <w:rFonts w:hint="eastAsia" w:ascii="宋体" w:hAnsi="宋体"/>
          <w:sz w:val="28"/>
        </w:rPr>
        <w:t xml:space="preserve">                                    日期：    年   月   日 </w:t>
      </w:r>
    </w:p>
    <w:p>
      <w:pPr>
        <w:adjustRightInd w:val="0"/>
        <w:snapToGrid w:val="0"/>
        <w:spacing w:line="300" w:lineRule="auto"/>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sz w:val="28"/>
        </w:rPr>
      </w:pPr>
    </w:p>
    <w:p>
      <w:pPr>
        <w:adjustRightInd w:val="0"/>
        <w:snapToGrid w:val="0"/>
        <w:spacing w:line="300" w:lineRule="auto"/>
        <w:rPr>
          <w:rFonts w:ascii="宋体" w:hAnsi="宋体"/>
          <w:sz w:val="28"/>
          <w:szCs w:val="28"/>
        </w:rPr>
      </w:pPr>
      <w:r>
        <w:rPr>
          <w:rFonts w:hint="eastAsia"/>
          <w:sz w:val="28"/>
        </w:rPr>
        <w:t>合同附件</w:t>
      </w:r>
      <w:r>
        <w:rPr>
          <w:rFonts w:hint="eastAsia"/>
          <w:sz w:val="28"/>
          <w:lang w:val="en-US" w:eastAsia="zh-CN"/>
        </w:rPr>
        <w:t>6</w:t>
      </w:r>
      <w:r>
        <w:rPr>
          <w:rFonts w:hint="eastAsia"/>
          <w:sz w:val="28"/>
        </w:rPr>
        <w:t>:</w:t>
      </w:r>
      <w:r>
        <w:rPr>
          <w:rFonts w:hint="eastAsia" w:ascii="宋体" w:hAnsi="宋体"/>
          <w:sz w:val="28"/>
          <w:szCs w:val="28"/>
        </w:rPr>
        <w:t>保密承诺书</w:t>
      </w:r>
    </w:p>
    <w:p>
      <w:pPr>
        <w:adjustRightInd w:val="0"/>
        <w:snapToGrid w:val="0"/>
        <w:spacing w:line="300" w:lineRule="auto"/>
        <w:rPr>
          <w:rFonts w:ascii="宋体" w:hAnsi="宋体"/>
          <w:sz w:val="28"/>
          <w:szCs w:val="28"/>
        </w:rPr>
      </w:pPr>
    </w:p>
    <w:p>
      <w:pPr>
        <w:widowControl/>
        <w:adjustRightInd w:val="0"/>
        <w:snapToGrid w:val="0"/>
        <w:spacing w:line="300" w:lineRule="auto"/>
        <w:jc w:val="center"/>
        <w:rPr>
          <w:rFonts w:ascii="宋体" w:hAnsi="宋体"/>
          <w:kern w:val="0"/>
          <w:sz w:val="18"/>
        </w:rPr>
      </w:pPr>
      <w:r>
        <w:rPr>
          <w:rFonts w:hint="eastAsia" w:ascii="宋体" w:hAnsi="宋体"/>
          <w:b/>
          <w:kern w:val="0"/>
          <w:sz w:val="44"/>
        </w:rPr>
        <w:t>保密承诺书</w:t>
      </w:r>
    </w:p>
    <w:p>
      <w:pPr>
        <w:widowControl/>
        <w:adjustRightInd w:val="0"/>
        <w:snapToGrid w:val="0"/>
        <w:spacing w:line="300" w:lineRule="auto"/>
        <w:textAlignment w:val="baseline"/>
        <w:rPr>
          <w:rFonts w:ascii="宋体" w:hAnsi="宋体"/>
          <w:kern w:val="0"/>
          <w:sz w:val="18"/>
        </w:rPr>
      </w:pPr>
      <w:r>
        <w:rPr>
          <w:rFonts w:hint="eastAsia" w:ascii="宋体" w:hAnsi="宋体"/>
          <w:kern w:val="0"/>
          <w:sz w:val="28"/>
        </w:rPr>
        <w:t xml:space="preserve">致：方大新材料（江西）有限公司 </w:t>
      </w:r>
    </w:p>
    <w:p>
      <w:pPr>
        <w:widowControl/>
        <w:adjustRightInd w:val="0"/>
        <w:snapToGrid w:val="0"/>
        <w:spacing w:line="300" w:lineRule="auto"/>
        <w:ind w:firstLine="480" w:firstLineChars="200"/>
        <w:textAlignment w:val="baseline"/>
        <w:rPr>
          <w:rFonts w:ascii="宋体" w:hAnsi="宋体"/>
          <w:kern w:val="0"/>
          <w:sz w:val="24"/>
        </w:rPr>
      </w:pPr>
      <w:r>
        <w:rPr>
          <w:rFonts w:hint="eastAsia" w:ascii="宋体" w:hAnsi="宋体"/>
          <w:kern w:val="0"/>
          <w:sz w:val="24"/>
        </w:rPr>
        <w:t>我公司与贵公司签订铝板采购合同，为保证在双方合同执行过程中保守贵公司相关商业秘密，我司特作如下承诺：</w:t>
      </w:r>
    </w:p>
    <w:p>
      <w:pPr>
        <w:widowControl/>
        <w:adjustRightInd w:val="0"/>
        <w:snapToGrid w:val="0"/>
        <w:spacing w:line="300" w:lineRule="auto"/>
        <w:textAlignment w:val="baseline"/>
        <w:rPr>
          <w:rFonts w:ascii="宋体" w:hAnsi="宋体"/>
          <w:kern w:val="0"/>
          <w:sz w:val="24"/>
        </w:rPr>
      </w:pPr>
      <w:r>
        <w:rPr>
          <w:rFonts w:hint="eastAsia" w:ascii="宋体" w:hAnsi="宋体"/>
          <w:kern w:val="0"/>
          <w:sz w:val="24"/>
        </w:rPr>
        <w:t>1、我司同意为贵司利益尽最佳努力，在双方合同履行期间不组织、参加或计划组织、参加任何竞争企业，或从事任何不正当使用贵司商业秘密的行为。</w:t>
      </w:r>
    </w:p>
    <w:p>
      <w:pPr>
        <w:widowControl/>
        <w:adjustRightInd w:val="0"/>
        <w:snapToGrid w:val="0"/>
        <w:spacing w:line="300" w:lineRule="auto"/>
        <w:textAlignment w:val="baseline"/>
        <w:rPr>
          <w:rFonts w:ascii="宋体" w:hAnsi="宋体"/>
          <w:kern w:val="0"/>
          <w:sz w:val="24"/>
        </w:rPr>
      </w:pPr>
      <w:r>
        <w:rPr>
          <w:rFonts w:hint="eastAsia" w:ascii="宋体" w:hAnsi="宋体"/>
          <w:kern w:val="0"/>
          <w:sz w:val="24"/>
        </w:rPr>
        <w:t>2、我司保证不披露（包括意外或过失）因双方合同关系而知悉的贵司商业秘密（包含但不限于合同签署及履行过程中披露的任何标准、规范、工程信息、计划、图纸、模型、样品、资料或其他信息）。</w:t>
      </w:r>
    </w:p>
    <w:p>
      <w:pPr>
        <w:widowControl/>
        <w:adjustRightInd w:val="0"/>
        <w:snapToGrid w:val="0"/>
        <w:spacing w:line="300" w:lineRule="auto"/>
        <w:textAlignment w:val="baseline"/>
        <w:rPr>
          <w:rFonts w:ascii="宋体" w:hAnsi="宋体"/>
          <w:kern w:val="0"/>
          <w:sz w:val="24"/>
        </w:rPr>
      </w:pPr>
      <w:r>
        <w:rPr>
          <w:rFonts w:hint="eastAsia" w:ascii="宋体" w:hAnsi="宋体"/>
          <w:kern w:val="0"/>
          <w:sz w:val="24"/>
        </w:rPr>
        <w:t>3、如果发现贵司商业秘密被泄露或者由于我司过失泄露商业秘密，我司将采取有效措施防止泄密进一步扩大，并及时向贵司报告。</w:t>
      </w:r>
    </w:p>
    <w:p>
      <w:pPr>
        <w:widowControl/>
        <w:adjustRightInd w:val="0"/>
        <w:snapToGrid w:val="0"/>
        <w:spacing w:line="300" w:lineRule="auto"/>
        <w:textAlignment w:val="baseline"/>
        <w:rPr>
          <w:rFonts w:ascii="宋体" w:hAnsi="宋体"/>
          <w:kern w:val="0"/>
          <w:sz w:val="24"/>
        </w:rPr>
      </w:pPr>
      <w:r>
        <w:rPr>
          <w:rFonts w:hint="eastAsia" w:ascii="宋体" w:hAnsi="宋体"/>
          <w:kern w:val="0"/>
          <w:sz w:val="24"/>
        </w:rPr>
        <w:t>4、我司保证我司人员不联系贵司业务人员、技术人员及贵司客户，同时不接收贵司市场业务人员及客户的联系，不得向其它第三方透露双方的加工合作信息。</w:t>
      </w:r>
    </w:p>
    <w:p>
      <w:pPr>
        <w:widowControl/>
        <w:adjustRightInd w:val="0"/>
        <w:snapToGrid w:val="0"/>
        <w:spacing w:line="300" w:lineRule="auto"/>
        <w:textAlignment w:val="baseline"/>
        <w:rPr>
          <w:rFonts w:ascii="宋体" w:hAnsi="宋体"/>
          <w:kern w:val="0"/>
          <w:sz w:val="24"/>
        </w:rPr>
      </w:pPr>
      <w:r>
        <w:rPr>
          <w:rFonts w:hint="eastAsia" w:ascii="宋体" w:hAnsi="宋体"/>
          <w:kern w:val="0"/>
          <w:sz w:val="24"/>
        </w:rPr>
        <w:t>5、我司在提供产品过程中，不出现任何有关我司标记的情况.</w:t>
      </w:r>
    </w:p>
    <w:p>
      <w:pPr>
        <w:widowControl/>
        <w:adjustRightInd w:val="0"/>
        <w:snapToGrid w:val="0"/>
        <w:spacing w:line="300" w:lineRule="auto"/>
        <w:textAlignment w:val="baseline"/>
        <w:rPr>
          <w:rFonts w:ascii="宋体" w:hAnsi="宋体"/>
          <w:kern w:val="0"/>
          <w:sz w:val="24"/>
        </w:rPr>
      </w:pPr>
      <w:r>
        <w:rPr>
          <w:rFonts w:hint="eastAsia" w:ascii="宋体" w:hAnsi="宋体"/>
          <w:kern w:val="0"/>
          <w:sz w:val="24"/>
        </w:rPr>
        <w:t>6、我司违反协议中的保密义务，将承担违约责任，贵司有权对罚没我司所有质量诚信保证金。如给贵司造成严重后果，我司愿意承担相关责任。</w:t>
      </w:r>
    </w:p>
    <w:p>
      <w:pPr>
        <w:widowControl/>
        <w:adjustRightInd w:val="0"/>
        <w:snapToGrid w:val="0"/>
        <w:spacing w:line="300" w:lineRule="auto"/>
        <w:textAlignment w:val="baseline"/>
        <w:rPr>
          <w:rFonts w:ascii="宋体" w:hAnsi="宋体"/>
          <w:kern w:val="0"/>
          <w:sz w:val="24"/>
        </w:rPr>
      </w:pPr>
      <w:r>
        <w:rPr>
          <w:rFonts w:hint="eastAsia" w:ascii="宋体" w:hAnsi="宋体"/>
          <w:kern w:val="0"/>
          <w:sz w:val="24"/>
        </w:rPr>
        <w:t>7、承诺书作为合作期内我司与贵司所签订合同的附件，与合同具有同等之效力。</w:t>
      </w:r>
    </w:p>
    <w:p>
      <w:pPr>
        <w:widowControl/>
        <w:adjustRightInd w:val="0"/>
        <w:snapToGrid w:val="0"/>
        <w:spacing w:line="300" w:lineRule="auto"/>
        <w:textAlignment w:val="baseline"/>
        <w:rPr>
          <w:rFonts w:ascii="宋体" w:hAnsi="宋体"/>
          <w:kern w:val="0"/>
          <w:sz w:val="24"/>
        </w:rPr>
      </w:pPr>
      <w:r>
        <w:rPr>
          <w:rFonts w:hint="eastAsia" w:ascii="宋体" w:hAnsi="宋体"/>
          <w:kern w:val="0"/>
          <w:sz w:val="24"/>
        </w:rPr>
        <w:t>8、承诺书在上述合同有效期内有效。</w:t>
      </w:r>
    </w:p>
    <w:p>
      <w:pPr>
        <w:widowControl/>
        <w:adjustRightInd w:val="0"/>
        <w:snapToGrid w:val="0"/>
        <w:spacing w:line="300" w:lineRule="auto"/>
        <w:textAlignment w:val="baseline"/>
        <w:rPr>
          <w:rFonts w:ascii="宋体" w:hAnsi="宋体"/>
          <w:kern w:val="0"/>
          <w:sz w:val="24"/>
        </w:rPr>
      </w:pPr>
    </w:p>
    <w:p>
      <w:pPr>
        <w:widowControl/>
        <w:adjustRightInd w:val="0"/>
        <w:snapToGrid w:val="0"/>
        <w:spacing w:line="300" w:lineRule="auto"/>
        <w:ind w:firstLine="5400" w:firstLineChars="2250"/>
        <w:textAlignment w:val="baseline"/>
        <w:rPr>
          <w:rFonts w:ascii="宋体" w:hAnsi="宋体"/>
          <w:kern w:val="0"/>
          <w:sz w:val="24"/>
        </w:rPr>
      </w:pPr>
      <w:r>
        <w:rPr>
          <w:rFonts w:hint="eastAsia" w:ascii="宋体" w:hAnsi="宋体"/>
          <w:kern w:val="0"/>
          <w:sz w:val="24"/>
        </w:rPr>
        <w:t>承诺单位（盖章）：</w:t>
      </w:r>
    </w:p>
    <w:p>
      <w:pPr>
        <w:widowControl/>
        <w:adjustRightInd w:val="0"/>
        <w:snapToGrid w:val="0"/>
        <w:spacing w:line="300" w:lineRule="auto"/>
        <w:ind w:firstLine="5600"/>
        <w:textAlignment w:val="baseline"/>
        <w:rPr>
          <w:rFonts w:ascii="宋体" w:hAnsi="宋体"/>
          <w:kern w:val="0"/>
          <w:sz w:val="24"/>
        </w:rPr>
      </w:pPr>
    </w:p>
    <w:p>
      <w:pPr>
        <w:widowControl/>
        <w:adjustRightInd w:val="0"/>
        <w:snapToGrid w:val="0"/>
        <w:spacing w:line="300" w:lineRule="auto"/>
        <w:ind w:firstLine="5716" w:firstLineChars="2382"/>
        <w:textAlignment w:val="baseline"/>
        <w:rPr>
          <w:rFonts w:ascii="宋体" w:hAnsi="宋体"/>
          <w:kern w:val="0"/>
          <w:sz w:val="24"/>
        </w:rPr>
      </w:pPr>
      <w:r>
        <w:rPr>
          <w:rFonts w:hint="eastAsia" w:ascii="宋体" w:hAnsi="宋体"/>
          <w:kern w:val="0"/>
          <w:sz w:val="24"/>
        </w:rPr>
        <w:t xml:space="preserve">法定代表人签字：               </w:t>
      </w:r>
    </w:p>
    <w:p>
      <w:pPr>
        <w:adjustRightInd w:val="0"/>
        <w:snapToGrid w:val="0"/>
        <w:spacing w:line="300" w:lineRule="auto"/>
      </w:pPr>
    </w:p>
    <w:p>
      <w:pPr>
        <w:adjustRightInd w:val="0"/>
        <w:snapToGrid w:val="0"/>
        <w:spacing w:line="300" w:lineRule="auto"/>
        <w:ind w:right="-286" w:rightChars="-136"/>
        <w:rPr>
          <w:rFonts w:ascii="宋体" w:hAnsi="宋体"/>
          <w:b/>
          <w:sz w:val="36"/>
        </w:rPr>
      </w:pPr>
    </w:p>
    <w:p>
      <w:pPr>
        <w:adjustRightInd w:val="0"/>
        <w:snapToGrid w:val="0"/>
        <w:spacing w:line="300" w:lineRule="auto"/>
        <w:ind w:right="-286" w:rightChars="-136"/>
        <w:rPr>
          <w:rFonts w:ascii="宋体" w:hAnsi="宋体"/>
          <w:b/>
          <w:sz w:val="36"/>
        </w:rPr>
      </w:pPr>
    </w:p>
    <w:p>
      <w:pPr>
        <w:adjustRightInd w:val="0"/>
        <w:snapToGrid w:val="0"/>
        <w:spacing w:line="300" w:lineRule="auto"/>
        <w:ind w:right="-286" w:rightChars="-136"/>
        <w:rPr>
          <w:rFonts w:ascii="宋体" w:hAnsi="宋体"/>
          <w:b/>
          <w:sz w:val="36"/>
        </w:rPr>
      </w:pPr>
    </w:p>
    <w:p>
      <w:pPr>
        <w:adjustRightInd w:val="0"/>
        <w:snapToGrid w:val="0"/>
        <w:spacing w:line="300" w:lineRule="auto"/>
        <w:ind w:right="-286" w:rightChars="-136"/>
        <w:rPr>
          <w:rFonts w:ascii="宋体" w:hAnsi="宋体"/>
          <w:b/>
          <w:sz w:val="36"/>
        </w:rPr>
      </w:pPr>
    </w:p>
    <w:p>
      <w:pPr>
        <w:adjustRightInd w:val="0"/>
        <w:snapToGrid w:val="0"/>
        <w:spacing w:line="300" w:lineRule="auto"/>
        <w:ind w:right="-286" w:rightChars="-136"/>
        <w:rPr>
          <w:rFonts w:ascii="宋体" w:hAnsi="宋体"/>
          <w:b/>
          <w:sz w:val="36"/>
        </w:rPr>
      </w:pPr>
    </w:p>
    <w:p>
      <w:pPr>
        <w:adjustRightInd w:val="0"/>
        <w:snapToGrid w:val="0"/>
        <w:spacing w:line="300" w:lineRule="auto"/>
        <w:ind w:right="-286" w:rightChars="-136"/>
        <w:rPr>
          <w:rFonts w:ascii="宋体" w:hAnsi="宋体"/>
          <w:b/>
          <w:sz w:val="36"/>
        </w:rPr>
      </w:pPr>
    </w:p>
    <w:p>
      <w:pPr>
        <w:adjustRightInd w:val="0"/>
        <w:snapToGrid w:val="0"/>
        <w:spacing w:line="300" w:lineRule="auto"/>
        <w:ind w:right="-286" w:rightChars="-136"/>
        <w:rPr>
          <w:rFonts w:ascii="宋体" w:hAnsi="宋体"/>
          <w:b/>
          <w:sz w:val="36"/>
        </w:rPr>
      </w:pPr>
    </w:p>
    <w:p>
      <w:pPr>
        <w:adjustRightInd w:val="0"/>
        <w:snapToGrid w:val="0"/>
        <w:spacing w:line="300" w:lineRule="auto"/>
        <w:ind w:right="-286" w:rightChars="-136"/>
        <w:rPr>
          <w:rFonts w:ascii="宋体" w:hAnsi="宋体"/>
          <w:b/>
          <w:sz w:val="36"/>
        </w:rPr>
      </w:pPr>
    </w:p>
    <w:p>
      <w:pPr>
        <w:adjustRightInd w:val="0"/>
        <w:snapToGrid w:val="0"/>
        <w:spacing w:line="300" w:lineRule="auto"/>
        <w:rPr>
          <w:rFonts w:ascii="宋体" w:hAnsi="宋体"/>
          <w:sz w:val="28"/>
          <w:szCs w:val="28"/>
        </w:rPr>
      </w:pPr>
      <w:r>
        <w:rPr>
          <w:rFonts w:hint="eastAsia"/>
          <w:sz w:val="28"/>
        </w:rPr>
        <w:t>合同附件</w:t>
      </w:r>
      <w:r>
        <w:rPr>
          <w:rFonts w:hint="eastAsia"/>
          <w:sz w:val="28"/>
          <w:lang w:val="en-US" w:eastAsia="zh-CN"/>
        </w:rPr>
        <w:t>7</w:t>
      </w:r>
      <w:r>
        <w:rPr>
          <w:rFonts w:hint="eastAsia"/>
          <w:sz w:val="28"/>
        </w:rPr>
        <w:t>:</w:t>
      </w:r>
      <w:r>
        <w:rPr>
          <w:rFonts w:hint="eastAsia" w:ascii="宋体" w:hAnsi="宋体"/>
          <w:sz w:val="28"/>
          <w:szCs w:val="28"/>
        </w:rPr>
        <w:t>发货相关流程</w:t>
      </w:r>
    </w:p>
    <w:p>
      <w:pPr>
        <w:adjustRightInd w:val="0"/>
        <w:snapToGrid w:val="0"/>
        <w:spacing w:line="300" w:lineRule="auto"/>
        <w:rPr>
          <w:rFonts w:ascii="宋体" w:hAnsi="宋体"/>
          <w:sz w:val="28"/>
          <w:szCs w:val="28"/>
        </w:rPr>
      </w:pPr>
    </w:p>
    <w:p>
      <w:pPr>
        <w:adjustRightInd w:val="0"/>
        <w:snapToGrid w:val="0"/>
        <w:spacing w:line="300" w:lineRule="auto"/>
        <w:jc w:val="center"/>
        <w:rPr>
          <w:rFonts w:ascii="黑体" w:hAnsi="宋体" w:eastAsia="黑体"/>
          <w:sz w:val="44"/>
          <w:szCs w:val="44"/>
        </w:rPr>
      </w:pPr>
      <w:r>
        <w:rPr>
          <w:rFonts w:hint="eastAsia" w:ascii="黑体" w:hAnsi="宋体" w:eastAsia="黑体"/>
          <w:sz w:val="44"/>
          <w:szCs w:val="44"/>
        </w:rPr>
        <w:t>发货流程</w:t>
      </w:r>
    </w:p>
    <w:p>
      <w:pPr>
        <w:adjustRightInd w:val="0"/>
        <w:snapToGrid w:val="0"/>
        <w:spacing w:line="300" w:lineRule="auto"/>
        <w:rPr>
          <w:rFonts w:ascii="宋体" w:hAnsi="宋体"/>
          <w:sz w:val="24"/>
          <w:szCs w:val="24"/>
        </w:rPr>
      </w:pPr>
      <w:r>
        <w:rPr>
          <w:rFonts w:hint="eastAsia" w:ascii="宋体" w:hAnsi="宋体"/>
          <w:sz w:val="24"/>
          <w:szCs w:val="24"/>
        </w:rPr>
        <w:t>1、发货前一个工作日通知甲方</w:t>
      </w:r>
      <w:r>
        <w:rPr>
          <w:rFonts w:hint="eastAsia" w:ascii="宋体" w:hAnsi="宋体"/>
          <w:sz w:val="24"/>
          <w:szCs w:val="24"/>
          <w:u w:val="single"/>
        </w:rPr>
        <w:t>涂军</w:t>
      </w:r>
      <w:r>
        <w:rPr>
          <w:rFonts w:hint="eastAsia" w:ascii="宋体" w:hAnsi="宋体"/>
          <w:sz w:val="24"/>
          <w:szCs w:val="24"/>
        </w:rPr>
        <w:t>，告知甲方</w:t>
      </w:r>
      <w:r>
        <w:rPr>
          <w:rFonts w:hint="eastAsia" w:ascii="宋体" w:hAnsi="宋体"/>
          <w:sz w:val="24"/>
          <w:szCs w:val="24"/>
          <w:u w:val="single"/>
        </w:rPr>
        <w:t>涂军</w:t>
      </w:r>
      <w:r>
        <w:rPr>
          <w:rFonts w:hint="eastAsia" w:ascii="宋体" w:hAnsi="宋体"/>
          <w:sz w:val="24"/>
          <w:szCs w:val="24"/>
        </w:rPr>
        <w:t>本次发货面积，与实际发货面积±10%偏差以内，超出部分甲方有权不予结算。</w:t>
      </w:r>
    </w:p>
    <w:p>
      <w:pPr>
        <w:adjustRightInd w:val="0"/>
        <w:snapToGrid w:val="0"/>
        <w:spacing w:line="300" w:lineRule="auto"/>
        <w:rPr>
          <w:rFonts w:ascii="宋体" w:hAnsi="宋体"/>
          <w:sz w:val="24"/>
          <w:szCs w:val="24"/>
        </w:rPr>
      </w:pPr>
      <w:r>
        <w:rPr>
          <w:rFonts w:hint="eastAsia" w:ascii="宋体" w:hAnsi="宋体"/>
          <w:sz w:val="24"/>
          <w:szCs w:val="24"/>
        </w:rPr>
        <w:t>2、每次发货前需按照甲方提供“</w:t>
      </w:r>
      <w:r>
        <w:rPr>
          <w:rFonts w:hint="eastAsia"/>
          <w:sz w:val="24"/>
          <w:szCs w:val="24"/>
        </w:rPr>
        <w:t>合同附件2——发货单模版</w:t>
      </w:r>
      <w:r>
        <w:rPr>
          <w:rFonts w:hint="eastAsia" w:ascii="宋体" w:hAnsi="宋体"/>
          <w:sz w:val="24"/>
          <w:szCs w:val="24"/>
        </w:rPr>
        <w:t>”提供电子版发货单给甲方</w:t>
      </w:r>
      <w:r>
        <w:rPr>
          <w:rFonts w:hint="eastAsia" w:ascii="宋体" w:hAnsi="宋体"/>
          <w:sz w:val="24"/>
          <w:szCs w:val="24"/>
          <w:u w:val="single"/>
          <w:lang w:eastAsia="zh-CN"/>
        </w:rPr>
        <w:t>何雪凌</w:t>
      </w:r>
      <w:r>
        <w:rPr>
          <w:rFonts w:hint="eastAsia" w:ascii="宋体" w:hAnsi="宋体"/>
          <w:sz w:val="24"/>
          <w:szCs w:val="24"/>
        </w:rPr>
        <w:t>邮箱</w:t>
      </w:r>
      <w:r>
        <w:rPr>
          <w:rFonts w:hint="eastAsia" w:ascii="宋体" w:hAnsi="宋体"/>
          <w:sz w:val="24"/>
          <w:szCs w:val="24"/>
          <w:lang w:val="en-US" w:eastAsia="zh-CN"/>
        </w:rPr>
        <w:t>50579358</w:t>
      </w:r>
      <w:r>
        <w:rPr>
          <w:rFonts w:hint="eastAsia" w:ascii="宋体" w:hAnsi="宋体"/>
          <w:sz w:val="24"/>
          <w:szCs w:val="24"/>
        </w:rPr>
        <w:t>@qq.com，确认无误后方可发货。未得到甲方回复直接发货，甲方有权不予结算。</w:t>
      </w:r>
    </w:p>
    <w:p>
      <w:pPr>
        <w:adjustRightInd w:val="0"/>
        <w:snapToGrid w:val="0"/>
        <w:spacing w:line="300" w:lineRule="auto"/>
        <w:rPr>
          <w:rFonts w:ascii="宋体" w:hAnsi="宋体"/>
          <w:sz w:val="24"/>
          <w:szCs w:val="24"/>
        </w:rPr>
      </w:pPr>
      <w:r>
        <w:rPr>
          <w:rFonts w:hint="eastAsia" w:ascii="宋体" w:hAnsi="宋体"/>
          <w:sz w:val="24"/>
          <w:szCs w:val="24"/>
        </w:rPr>
        <w:t>3、乙方使用纸质发货单必须为甲方提供，如发货单不足，需提前三个工作日通知甲方黄晓龙，如未使用甲方纸质发货单，甲方有权不予结算。</w:t>
      </w:r>
    </w:p>
    <w:p>
      <w:pPr>
        <w:adjustRightInd w:val="0"/>
        <w:snapToGrid w:val="0"/>
        <w:spacing w:line="300" w:lineRule="auto"/>
        <w:rPr>
          <w:rFonts w:ascii="宋体" w:hAnsi="宋体"/>
          <w:sz w:val="24"/>
          <w:szCs w:val="24"/>
        </w:rPr>
      </w:pPr>
      <w:r>
        <w:rPr>
          <w:rFonts w:hint="eastAsia" w:ascii="宋体" w:hAnsi="宋体"/>
          <w:sz w:val="24"/>
          <w:szCs w:val="24"/>
        </w:rPr>
        <w:t>4、乙方提供给甲方的电子版货单，必须和纸质发货单保持一致，经甲方确认后，不得更改。若私自更改甲方有权不予结算。</w:t>
      </w:r>
    </w:p>
    <w:p>
      <w:pPr>
        <w:adjustRightInd w:val="0"/>
        <w:snapToGrid w:val="0"/>
        <w:spacing w:line="300" w:lineRule="auto"/>
        <w:rPr>
          <w:rFonts w:ascii="宋体" w:hAnsi="宋体"/>
          <w:sz w:val="24"/>
          <w:szCs w:val="24"/>
        </w:rPr>
      </w:pPr>
      <w:r>
        <w:rPr>
          <w:rFonts w:hint="eastAsia" w:ascii="宋体" w:hAnsi="宋体"/>
          <w:sz w:val="24"/>
          <w:szCs w:val="24"/>
        </w:rPr>
        <w:t>5、乙方发货后必须让司机找现场签字后带回发货单“承运方回单”，并及时寄给甲方，若乙方未提供“承运方回单”给甲方，甲方有权不予办理付款。</w:t>
      </w:r>
    </w:p>
    <w:p>
      <w:pPr>
        <w:adjustRightInd w:val="0"/>
        <w:snapToGrid w:val="0"/>
        <w:spacing w:line="300" w:lineRule="auto"/>
        <w:rPr>
          <w:sz w:val="24"/>
          <w:szCs w:val="24"/>
        </w:rPr>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p>
      <w:pPr>
        <w:adjustRightInd w:val="0"/>
        <w:snapToGrid w:val="0"/>
        <w:spacing w:line="300" w:lineRule="auto"/>
      </w:pPr>
    </w:p>
    <w:sectPr>
      <w:pgSz w:w="11906" w:h="16838"/>
      <w:pgMar w:top="1020" w:right="1800" w:bottom="898" w:left="11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4BC2"/>
    <w:multiLevelType w:val="singleLevel"/>
    <w:tmpl w:val="06204BC2"/>
    <w:lvl w:ilvl="0" w:tentative="0">
      <w:start w:val="4"/>
      <w:numFmt w:val="decimal"/>
      <w:suff w:val="nothing"/>
      <w:lvlText w:val="%1、"/>
      <w:lvlJc w:val="left"/>
    </w:lvl>
  </w:abstractNum>
  <w:abstractNum w:abstractNumId="1">
    <w:nsid w:val="45AA5192"/>
    <w:multiLevelType w:val="multilevel"/>
    <w:tmpl w:val="45AA51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0CE7DA"/>
    <w:multiLevelType w:val="singleLevel"/>
    <w:tmpl w:val="7C0CE7DA"/>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3B"/>
    <w:rsid w:val="000028D8"/>
    <w:rsid w:val="00006BA4"/>
    <w:rsid w:val="0001047C"/>
    <w:rsid w:val="000104EE"/>
    <w:rsid w:val="00014B17"/>
    <w:rsid w:val="00014B2E"/>
    <w:rsid w:val="000156E2"/>
    <w:rsid w:val="00015784"/>
    <w:rsid w:val="00017D5F"/>
    <w:rsid w:val="0002147D"/>
    <w:rsid w:val="00022188"/>
    <w:rsid w:val="00022CE0"/>
    <w:rsid w:val="000247CA"/>
    <w:rsid w:val="0002551A"/>
    <w:rsid w:val="00025889"/>
    <w:rsid w:val="000268CB"/>
    <w:rsid w:val="00032B5A"/>
    <w:rsid w:val="00032DF3"/>
    <w:rsid w:val="0003443A"/>
    <w:rsid w:val="00034599"/>
    <w:rsid w:val="00034E40"/>
    <w:rsid w:val="0003604E"/>
    <w:rsid w:val="000365A5"/>
    <w:rsid w:val="000369E5"/>
    <w:rsid w:val="000373F7"/>
    <w:rsid w:val="00037CC0"/>
    <w:rsid w:val="00042FD6"/>
    <w:rsid w:val="00043962"/>
    <w:rsid w:val="00043B24"/>
    <w:rsid w:val="0004437F"/>
    <w:rsid w:val="000452BD"/>
    <w:rsid w:val="000454F1"/>
    <w:rsid w:val="000459D8"/>
    <w:rsid w:val="000466B8"/>
    <w:rsid w:val="00047A8F"/>
    <w:rsid w:val="00050315"/>
    <w:rsid w:val="00051C56"/>
    <w:rsid w:val="00052470"/>
    <w:rsid w:val="00052592"/>
    <w:rsid w:val="00052726"/>
    <w:rsid w:val="00052A76"/>
    <w:rsid w:val="00053331"/>
    <w:rsid w:val="000548D9"/>
    <w:rsid w:val="000554C1"/>
    <w:rsid w:val="00055E61"/>
    <w:rsid w:val="00055F1E"/>
    <w:rsid w:val="00061DDE"/>
    <w:rsid w:val="00061E98"/>
    <w:rsid w:val="0006203A"/>
    <w:rsid w:val="00062FC7"/>
    <w:rsid w:val="000651A5"/>
    <w:rsid w:val="00066F54"/>
    <w:rsid w:val="00066FC0"/>
    <w:rsid w:val="000701AF"/>
    <w:rsid w:val="00072358"/>
    <w:rsid w:val="0007253B"/>
    <w:rsid w:val="00072820"/>
    <w:rsid w:val="00073DDF"/>
    <w:rsid w:val="000756EC"/>
    <w:rsid w:val="0007671C"/>
    <w:rsid w:val="000776EE"/>
    <w:rsid w:val="00080699"/>
    <w:rsid w:val="000812E2"/>
    <w:rsid w:val="00084800"/>
    <w:rsid w:val="00087D62"/>
    <w:rsid w:val="00087E5F"/>
    <w:rsid w:val="00090510"/>
    <w:rsid w:val="00092FCC"/>
    <w:rsid w:val="00093D30"/>
    <w:rsid w:val="00094E71"/>
    <w:rsid w:val="0009551E"/>
    <w:rsid w:val="00095959"/>
    <w:rsid w:val="000974F4"/>
    <w:rsid w:val="00097EEE"/>
    <w:rsid w:val="000A0AA5"/>
    <w:rsid w:val="000A100D"/>
    <w:rsid w:val="000A1986"/>
    <w:rsid w:val="000A23F7"/>
    <w:rsid w:val="000A55F8"/>
    <w:rsid w:val="000A5CD4"/>
    <w:rsid w:val="000A5CD5"/>
    <w:rsid w:val="000A6AB6"/>
    <w:rsid w:val="000B1BD6"/>
    <w:rsid w:val="000B1DB9"/>
    <w:rsid w:val="000B4A78"/>
    <w:rsid w:val="000B509D"/>
    <w:rsid w:val="000B6D21"/>
    <w:rsid w:val="000C1201"/>
    <w:rsid w:val="000C32BD"/>
    <w:rsid w:val="000C369E"/>
    <w:rsid w:val="000C36F6"/>
    <w:rsid w:val="000D28C1"/>
    <w:rsid w:val="000D71F7"/>
    <w:rsid w:val="000E164A"/>
    <w:rsid w:val="000E1FDB"/>
    <w:rsid w:val="000E2519"/>
    <w:rsid w:val="000E703A"/>
    <w:rsid w:val="000E72B3"/>
    <w:rsid w:val="000E7BF9"/>
    <w:rsid w:val="000F0830"/>
    <w:rsid w:val="000F3AAD"/>
    <w:rsid w:val="000F6747"/>
    <w:rsid w:val="00100802"/>
    <w:rsid w:val="00100856"/>
    <w:rsid w:val="00100FDC"/>
    <w:rsid w:val="0010148D"/>
    <w:rsid w:val="00101B68"/>
    <w:rsid w:val="00101DAC"/>
    <w:rsid w:val="00103877"/>
    <w:rsid w:val="001039FE"/>
    <w:rsid w:val="00104597"/>
    <w:rsid w:val="001051C0"/>
    <w:rsid w:val="001057DB"/>
    <w:rsid w:val="00112CC0"/>
    <w:rsid w:val="0011368A"/>
    <w:rsid w:val="001149BE"/>
    <w:rsid w:val="0011532F"/>
    <w:rsid w:val="0011698D"/>
    <w:rsid w:val="001176D9"/>
    <w:rsid w:val="001179BC"/>
    <w:rsid w:val="00124104"/>
    <w:rsid w:val="00127E77"/>
    <w:rsid w:val="001302B7"/>
    <w:rsid w:val="001303BA"/>
    <w:rsid w:val="0013065E"/>
    <w:rsid w:val="001306F8"/>
    <w:rsid w:val="00130F5E"/>
    <w:rsid w:val="001311D2"/>
    <w:rsid w:val="001324A8"/>
    <w:rsid w:val="0013292D"/>
    <w:rsid w:val="00133111"/>
    <w:rsid w:val="001369F8"/>
    <w:rsid w:val="00140322"/>
    <w:rsid w:val="00140D14"/>
    <w:rsid w:val="0014406D"/>
    <w:rsid w:val="0015194D"/>
    <w:rsid w:val="00154997"/>
    <w:rsid w:val="0015512D"/>
    <w:rsid w:val="00156DFD"/>
    <w:rsid w:val="00160CF4"/>
    <w:rsid w:val="00161CC7"/>
    <w:rsid w:val="00164559"/>
    <w:rsid w:val="001653D8"/>
    <w:rsid w:val="00170221"/>
    <w:rsid w:val="00170457"/>
    <w:rsid w:val="0017141E"/>
    <w:rsid w:val="001723B8"/>
    <w:rsid w:val="0017327C"/>
    <w:rsid w:val="00173978"/>
    <w:rsid w:val="0018108B"/>
    <w:rsid w:val="00183B1C"/>
    <w:rsid w:val="00184388"/>
    <w:rsid w:val="00185F75"/>
    <w:rsid w:val="00190EEC"/>
    <w:rsid w:val="00191F24"/>
    <w:rsid w:val="00192B58"/>
    <w:rsid w:val="001944E1"/>
    <w:rsid w:val="00194AD9"/>
    <w:rsid w:val="0019653C"/>
    <w:rsid w:val="00196B2B"/>
    <w:rsid w:val="00197A3B"/>
    <w:rsid w:val="001A2780"/>
    <w:rsid w:val="001A39F0"/>
    <w:rsid w:val="001A4541"/>
    <w:rsid w:val="001A4ECD"/>
    <w:rsid w:val="001A5544"/>
    <w:rsid w:val="001A6597"/>
    <w:rsid w:val="001A68E6"/>
    <w:rsid w:val="001B00FA"/>
    <w:rsid w:val="001B0E40"/>
    <w:rsid w:val="001B1F9B"/>
    <w:rsid w:val="001B5A37"/>
    <w:rsid w:val="001C01EA"/>
    <w:rsid w:val="001C1A6A"/>
    <w:rsid w:val="001C24F5"/>
    <w:rsid w:val="001C6444"/>
    <w:rsid w:val="001C6705"/>
    <w:rsid w:val="001D1DBB"/>
    <w:rsid w:val="001D2077"/>
    <w:rsid w:val="001D239E"/>
    <w:rsid w:val="001D4524"/>
    <w:rsid w:val="001D4C22"/>
    <w:rsid w:val="001D51FC"/>
    <w:rsid w:val="001E3C17"/>
    <w:rsid w:val="001E41DA"/>
    <w:rsid w:val="001E7424"/>
    <w:rsid w:val="001E754A"/>
    <w:rsid w:val="001F0D66"/>
    <w:rsid w:val="001F0F2D"/>
    <w:rsid w:val="001F1418"/>
    <w:rsid w:val="001F1C47"/>
    <w:rsid w:val="001F1E48"/>
    <w:rsid w:val="001F37C7"/>
    <w:rsid w:val="001F3EC6"/>
    <w:rsid w:val="001F65D7"/>
    <w:rsid w:val="001F6839"/>
    <w:rsid w:val="002003BA"/>
    <w:rsid w:val="00201897"/>
    <w:rsid w:val="002052E7"/>
    <w:rsid w:val="002063AB"/>
    <w:rsid w:val="00206D31"/>
    <w:rsid w:val="002073D3"/>
    <w:rsid w:val="00207C05"/>
    <w:rsid w:val="002124C3"/>
    <w:rsid w:val="002140D9"/>
    <w:rsid w:val="0021606F"/>
    <w:rsid w:val="0021619C"/>
    <w:rsid w:val="0021773B"/>
    <w:rsid w:val="00220F15"/>
    <w:rsid w:val="00225E1F"/>
    <w:rsid w:val="002260D5"/>
    <w:rsid w:val="002278F1"/>
    <w:rsid w:val="00227DB5"/>
    <w:rsid w:val="00227F48"/>
    <w:rsid w:val="00230EBB"/>
    <w:rsid w:val="00231D01"/>
    <w:rsid w:val="00232F1E"/>
    <w:rsid w:val="00233CFE"/>
    <w:rsid w:val="00234B64"/>
    <w:rsid w:val="00236102"/>
    <w:rsid w:val="00236450"/>
    <w:rsid w:val="0023692B"/>
    <w:rsid w:val="00236EDC"/>
    <w:rsid w:val="0023774A"/>
    <w:rsid w:val="00241110"/>
    <w:rsid w:val="002417E6"/>
    <w:rsid w:val="00244E0C"/>
    <w:rsid w:val="00247100"/>
    <w:rsid w:val="0025017A"/>
    <w:rsid w:val="00250F24"/>
    <w:rsid w:val="00252477"/>
    <w:rsid w:val="00252D15"/>
    <w:rsid w:val="00256CD1"/>
    <w:rsid w:val="00257A35"/>
    <w:rsid w:val="00260515"/>
    <w:rsid w:val="00261CC4"/>
    <w:rsid w:val="002624F8"/>
    <w:rsid w:val="002667DB"/>
    <w:rsid w:val="002670BE"/>
    <w:rsid w:val="00270EB7"/>
    <w:rsid w:val="00271CA9"/>
    <w:rsid w:val="00273F5E"/>
    <w:rsid w:val="0027428B"/>
    <w:rsid w:val="00274CCB"/>
    <w:rsid w:val="00275F20"/>
    <w:rsid w:val="00276554"/>
    <w:rsid w:val="002802A0"/>
    <w:rsid w:val="00282106"/>
    <w:rsid w:val="0028259F"/>
    <w:rsid w:val="00282E33"/>
    <w:rsid w:val="00283108"/>
    <w:rsid w:val="0028487D"/>
    <w:rsid w:val="00287DE1"/>
    <w:rsid w:val="00290344"/>
    <w:rsid w:val="00290389"/>
    <w:rsid w:val="00290D64"/>
    <w:rsid w:val="00290F40"/>
    <w:rsid w:val="002923C6"/>
    <w:rsid w:val="0029244B"/>
    <w:rsid w:val="0029454E"/>
    <w:rsid w:val="00296CAF"/>
    <w:rsid w:val="002A168F"/>
    <w:rsid w:val="002A1D46"/>
    <w:rsid w:val="002A2692"/>
    <w:rsid w:val="002A3B03"/>
    <w:rsid w:val="002A4117"/>
    <w:rsid w:val="002A418A"/>
    <w:rsid w:val="002A49AE"/>
    <w:rsid w:val="002A4C7D"/>
    <w:rsid w:val="002A5247"/>
    <w:rsid w:val="002A6833"/>
    <w:rsid w:val="002A7177"/>
    <w:rsid w:val="002A7228"/>
    <w:rsid w:val="002A7391"/>
    <w:rsid w:val="002B76CF"/>
    <w:rsid w:val="002C4604"/>
    <w:rsid w:val="002C4B3F"/>
    <w:rsid w:val="002C5D91"/>
    <w:rsid w:val="002C7D2C"/>
    <w:rsid w:val="002D18A8"/>
    <w:rsid w:val="002D3403"/>
    <w:rsid w:val="002D3CDF"/>
    <w:rsid w:val="002D5841"/>
    <w:rsid w:val="002D5ABA"/>
    <w:rsid w:val="002D5F21"/>
    <w:rsid w:val="002E1DA3"/>
    <w:rsid w:val="002E2A54"/>
    <w:rsid w:val="002E4594"/>
    <w:rsid w:val="002E46EB"/>
    <w:rsid w:val="002E5F78"/>
    <w:rsid w:val="002E7678"/>
    <w:rsid w:val="002F3975"/>
    <w:rsid w:val="002F3BD9"/>
    <w:rsid w:val="002F5539"/>
    <w:rsid w:val="002F5CB7"/>
    <w:rsid w:val="002F5F50"/>
    <w:rsid w:val="00300AB7"/>
    <w:rsid w:val="003017EC"/>
    <w:rsid w:val="0030228A"/>
    <w:rsid w:val="003037A0"/>
    <w:rsid w:val="00305E7C"/>
    <w:rsid w:val="003101DE"/>
    <w:rsid w:val="003107FB"/>
    <w:rsid w:val="00310C31"/>
    <w:rsid w:val="00312FB4"/>
    <w:rsid w:val="00314EEB"/>
    <w:rsid w:val="00317555"/>
    <w:rsid w:val="00321573"/>
    <w:rsid w:val="00324344"/>
    <w:rsid w:val="00324579"/>
    <w:rsid w:val="0032664C"/>
    <w:rsid w:val="003278ED"/>
    <w:rsid w:val="00327E2C"/>
    <w:rsid w:val="00327ECC"/>
    <w:rsid w:val="0033015B"/>
    <w:rsid w:val="003328C7"/>
    <w:rsid w:val="00332D14"/>
    <w:rsid w:val="00332F78"/>
    <w:rsid w:val="00333BF8"/>
    <w:rsid w:val="00335C7E"/>
    <w:rsid w:val="00337315"/>
    <w:rsid w:val="00341024"/>
    <w:rsid w:val="00341ED7"/>
    <w:rsid w:val="00345953"/>
    <w:rsid w:val="003505D5"/>
    <w:rsid w:val="003521BE"/>
    <w:rsid w:val="00355CDF"/>
    <w:rsid w:val="003602D3"/>
    <w:rsid w:val="00360A18"/>
    <w:rsid w:val="003610AE"/>
    <w:rsid w:val="00363B44"/>
    <w:rsid w:val="00370806"/>
    <w:rsid w:val="003715D5"/>
    <w:rsid w:val="003722B6"/>
    <w:rsid w:val="00373C0C"/>
    <w:rsid w:val="00375457"/>
    <w:rsid w:val="00375CB8"/>
    <w:rsid w:val="00376F70"/>
    <w:rsid w:val="00377312"/>
    <w:rsid w:val="003802DF"/>
    <w:rsid w:val="00381476"/>
    <w:rsid w:val="00382AFA"/>
    <w:rsid w:val="00383767"/>
    <w:rsid w:val="0038390E"/>
    <w:rsid w:val="003847F8"/>
    <w:rsid w:val="00387001"/>
    <w:rsid w:val="00390446"/>
    <w:rsid w:val="003910D0"/>
    <w:rsid w:val="00393294"/>
    <w:rsid w:val="003946FC"/>
    <w:rsid w:val="00395167"/>
    <w:rsid w:val="00396D24"/>
    <w:rsid w:val="0039704A"/>
    <w:rsid w:val="003A2E12"/>
    <w:rsid w:val="003B4DDC"/>
    <w:rsid w:val="003B621C"/>
    <w:rsid w:val="003B67E3"/>
    <w:rsid w:val="003B6E8B"/>
    <w:rsid w:val="003B797F"/>
    <w:rsid w:val="003C14AC"/>
    <w:rsid w:val="003C3687"/>
    <w:rsid w:val="003C572E"/>
    <w:rsid w:val="003C6548"/>
    <w:rsid w:val="003C6895"/>
    <w:rsid w:val="003C73DC"/>
    <w:rsid w:val="003C7C5D"/>
    <w:rsid w:val="003D053A"/>
    <w:rsid w:val="003D264E"/>
    <w:rsid w:val="003D2B71"/>
    <w:rsid w:val="003D7065"/>
    <w:rsid w:val="003D7975"/>
    <w:rsid w:val="003E130F"/>
    <w:rsid w:val="003E1A47"/>
    <w:rsid w:val="003E4D2D"/>
    <w:rsid w:val="003F00C9"/>
    <w:rsid w:val="003F0E8D"/>
    <w:rsid w:val="003F2363"/>
    <w:rsid w:val="003F2F26"/>
    <w:rsid w:val="003F4226"/>
    <w:rsid w:val="003F57B9"/>
    <w:rsid w:val="003F6161"/>
    <w:rsid w:val="003F6267"/>
    <w:rsid w:val="003F719C"/>
    <w:rsid w:val="003F71F3"/>
    <w:rsid w:val="0040175D"/>
    <w:rsid w:val="00401ABF"/>
    <w:rsid w:val="004026D4"/>
    <w:rsid w:val="00402CDE"/>
    <w:rsid w:val="0040383E"/>
    <w:rsid w:val="004046D4"/>
    <w:rsid w:val="00405372"/>
    <w:rsid w:val="004058E5"/>
    <w:rsid w:val="00405FCA"/>
    <w:rsid w:val="0041154C"/>
    <w:rsid w:val="0041167B"/>
    <w:rsid w:val="004120FB"/>
    <w:rsid w:val="0041298F"/>
    <w:rsid w:val="00414CF7"/>
    <w:rsid w:val="004159B4"/>
    <w:rsid w:val="0042091F"/>
    <w:rsid w:val="00422860"/>
    <w:rsid w:val="00423FC5"/>
    <w:rsid w:val="0042680D"/>
    <w:rsid w:val="0043187B"/>
    <w:rsid w:val="00431AD0"/>
    <w:rsid w:val="00432A86"/>
    <w:rsid w:val="004344FE"/>
    <w:rsid w:val="00434A11"/>
    <w:rsid w:val="00435E70"/>
    <w:rsid w:val="00437870"/>
    <w:rsid w:val="00440190"/>
    <w:rsid w:val="00440271"/>
    <w:rsid w:val="00440400"/>
    <w:rsid w:val="00443A19"/>
    <w:rsid w:val="00443A72"/>
    <w:rsid w:val="00443AC9"/>
    <w:rsid w:val="00445DF8"/>
    <w:rsid w:val="00447789"/>
    <w:rsid w:val="00451F48"/>
    <w:rsid w:val="004525C2"/>
    <w:rsid w:val="00453B0E"/>
    <w:rsid w:val="004546BC"/>
    <w:rsid w:val="00455E96"/>
    <w:rsid w:val="004566AB"/>
    <w:rsid w:val="00460633"/>
    <w:rsid w:val="00460EF1"/>
    <w:rsid w:val="004611A7"/>
    <w:rsid w:val="0046248E"/>
    <w:rsid w:val="004702AD"/>
    <w:rsid w:val="004728BC"/>
    <w:rsid w:val="00473AD5"/>
    <w:rsid w:val="00474AD2"/>
    <w:rsid w:val="00474B73"/>
    <w:rsid w:val="00480DF7"/>
    <w:rsid w:val="004812B9"/>
    <w:rsid w:val="00482F17"/>
    <w:rsid w:val="00483E12"/>
    <w:rsid w:val="00486267"/>
    <w:rsid w:val="004871E3"/>
    <w:rsid w:val="00490C22"/>
    <w:rsid w:val="00493231"/>
    <w:rsid w:val="00493CDE"/>
    <w:rsid w:val="004947CB"/>
    <w:rsid w:val="0049526C"/>
    <w:rsid w:val="0049678B"/>
    <w:rsid w:val="004A1233"/>
    <w:rsid w:val="004A13AD"/>
    <w:rsid w:val="004A3C3A"/>
    <w:rsid w:val="004A4424"/>
    <w:rsid w:val="004A47BC"/>
    <w:rsid w:val="004B0EE4"/>
    <w:rsid w:val="004B1EA5"/>
    <w:rsid w:val="004B21A3"/>
    <w:rsid w:val="004B2FFE"/>
    <w:rsid w:val="004B36C3"/>
    <w:rsid w:val="004B3D44"/>
    <w:rsid w:val="004B4D0E"/>
    <w:rsid w:val="004B6533"/>
    <w:rsid w:val="004B7CDF"/>
    <w:rsid w:val="004C055D"/>
    <w:rsid w:val="004C14EB"/>
    <w:rsid w:val="004C20D9"/>
    <w:rsid w:val="004C24A6"/>
    <w:rsid w:val="004C3ED2"/>
    <w:rsid w:val="004C6381"/>
    <w:rsid w:val="004C6604"/>
    <w:rsid w:val="004D0CCD"/>
    <w:rsid w:val="004D17BF"/>
    <w:rsid w:val="004D1E19"/>
    <w:rsid w:val="004D3DCD"/>
    <w:rsid w:val="004D44A9"/>
    <w:rsid w:val="004D4F08"/>
    <w:rsid w:val="004E1A1A"/>
    <w:rsid w:val="004E205D"/>
    <w:rsid w:val="004F036D"/>
    <w:rsid w:val="004F0D9E"/>
    <w:rsid w:val="004F60B1"/>
    <w:rsid w:val="005019BA"/>
    <w:rsid w:val="00505E8F"/>
    <w:rsid w:val="0050659E"/>
    <w:rsid w:val="00507ACE"/>
    <w:rsid w:val="00513363"/>
    <w:rsid w:val="005137A6"/>
    <w:rsid w:val="00514E53"/>
    <w:rsid w:val="005151B4"/>
    <w:rsid w:val="005178A6"/>
    <w:rsid w:val="00517F6B"/>
    <w:rsid w:val="00520245"/>
    <w:rsid w:val="0052552E"/>
    <w:rsid w:val="005274E9"/>
    <w:rsid w:val="005279F9"/>
    <w:rsid w:val="00527D15"/>
    <w:rsid w:val="00530174"/>
    <w:rsid w:val="00530295"/>
    <w:rsid w:val="00530828"/>
    <w:rsid w:val="00535957"/>
    <w:rsid w:val="00537198"/>
    <w:rsid w:val="0053726C"/>
    <w:rsid w:val="00537703"/>
    <w:rsid w:val="005418D5"/>
    <w:rsid w:val="00541959"/>
    <w:rsid w:val="00541E3F"/>
    <w:rsid w:val="005439B1"/>
    <w:rsid w:val="005443E3"/>
    <w:rsid w:val="00545261"/>
    <w:rsid w:val="00545774"/>
    <w:rsid w:val="00545BBF"/>
    <w:rsid w:val="005505AC"/>
    <w:rsid w:val="00551534"/>
    <w:rsid w:val="00552F6C"/>
    <w:rsid w:val="005537CA"/>
    <w:rsid w:val="00554043"/>
    <w:rsid w:val="005540CD"/>
    <w:rsid w:val="005554C2"/>
    <w:rsid w:val="0055740D"/>
    <w:rsid w:val="00557992"/>
    <w:rsid w:val="00561EA2"/>
    <w:rsid w:val="005642E4"/>
    <w:rsid w:val="0056436B"/>
    <w:rsid w:val="00570B8D"/>
    <w:rsid w:val="005722D9"/>
    <w:rsid w:val="00574398"/>
    <w:rsid w:val="00574F21"/>
    <w:rsid w:val="005757A6"/>
    <w:rsid w:val="0057602C"/>
    <w:rsid w:val="00576F98"/>
    <w:rsid w:val="00580812"/>
    <w:rsid w:val="00580A1E"/>
    <w:rsid w:val="00580B88"/>
    <w:rsid w:val="00581005"/>
    <w:rsid w:val="00582066"/>
    <w:rsid w:val="005829FC"/>
    <w:rsid w:val="00582A47"/>
    <w:rsid w:val="00582D12"/>
    <w:rsid w:val="0058446B"/>
    <w:rsid w:val="00585097"/>
    <w:rsid w:val="00587554"/>
    <w:rsid w:val="0059044B"/>
    <w:rsid w:val="005909AB"/>
    <w:rsid w:val="0059140B"/>
    <w:rsid w:val="00592838"/>
    <w:rsid w:val="00593587"/>
    <w:rsid w:val="00594562"/>
    <w:rsid w:val="0059630F"/>
    <w:rsid w:val="005978E3"/>
    <w:rsid w:val="00597C87"/>
    <w:rsid w:val="005A01BE"/>
    <w:rsid w:val="005A0700"/>
    <w:rsid w:val="005A3C78"/>
    <w:rsid w:val="005A6668"/>
    <w:rsid w:val="005B0898"/>
    <w:rsid w:val="005B5478"/>
    <w:rsid w:val="005B6234"/>
    <w:rsid w:val="005B7531"/>
    <w:rsid w:val="005C0375"/>
    <w:rsid w:val="005C1A0C"/>
    <w:rsid w:val="005C436E"/>
    <w:rsid w:val="005C7FE6"/>
    <w:rsid w:val="005D4C52"/>
    <w:rsid w:val="005D564A"/>
    <w:rsid w:val="005D68D4"/>
    <w:rsid w:val="005D70EC"/>
    <w:rsid w:val="005E1C38"/>
    <w:rsid w:val="005E3700"/>
    <w:rsid w:val="005E376B"/>
    <w:rsid w:val="005E546E"/>
    <w:rsid w:val="005E6C98"/>
    <w:rsid w:val="005F048D"/>
    <w:rsid w:val="005F096D"/>
    <w:rsid w:val="005F0D2F"/>
    <w:rsid w:val="005F4784"/>
    <w:rsid w:val="005F5479"/>
    <w:rsid w:val="005F6C76"/>
    <w:rsid w:val="005F78BF"/>
    <w:rsid w:val="0060415B"/>
    <w:rsid w:val="00604345"/>
    <w:rsid w:val="006046A2"/>
    <w:rsid w:val="006050F0"/>
    <w:rsid w:val="00605685"/>
    <w:rsid w:val="00610ED8"/>
    <w:rsid w:val="0061288A"/>
    <w:rsid w:val="00612FBB"/>
    <w:rsid w:val="00615B60"/>
    <w:rsid w:val="0062028D"/>
    <w:rsid w:val="0062200C"/>
    <w:rsid w:val="0062230E"/>
    <w:rsid w:val="00622551"/>
    <w:rsid w:val="006247C1"/>
    <w:rsid w:val="00626031"/>
    <w:rsid w:val="00627E75"/>
    <w:rsid w:val="00631569"/>
    <w:rsid w:val="00633143"/>
    <w:rsid w:val="00633921"/>
    <w:rsid w:val="006348F5"/>
    <w:rsid w:val="006360F7"/>
    <w:rsid w:val="00637047"/>
    <w:rsid w:val="006374AC"/>
    <w:rsid w:val="00643AD3"/>
    <w:rsid w:val="00643BA5"/>
    <w:rsid w:val="00645C7A"/>
    <w:rsid w:val="006463B4"/>
    <w:rsid w:val="00650334"/>
    <w:rsid w:val="0065083F"/>
    <w:rsid w:val="006518E4"/>
    <w:rsid w:val="00654D2D"/>
    <w:rsid w:val="00655839"/>
    <w:rsid w:val="006600CE"/>
    <w:rsid w:val="00661AD9"/>
    <w:rsid w:val="0066385B"/>
    <w:rsid w:val="006661CC"/>
    <w:rsid w:val="00667C44"/>
    <w:rsid w:val="00670072"/>
    <w:rsid w:val="006710E3"/>
    <w:rsid w:val="0067140B"/>
    <w:rsid w:val="00673097"/>
    <w:rsid w:val="00674E58"/>
    <w:rsid w:val="0067595A"/>
    <w:rsid w:val="006777E8"/>
    <w:rsid w:val="006817A7"/>
    <w:rsid w:val="006839B4"/>
    <w:rsid w:val="006846F4"/>
    <w:rsid w:val="00684834"/>
    <w:rsid w:val="00685C55"/>
    <w:rsid w:val="00687A73"/>
    <w:rsid w:val="00690941"/>
    <w:rsid w:val="00690D35"/>
    <w:rsid w:val="00692656"/>
    <w:rsid w:val="00693877"/>
    <w:rsid w:val="00693915"/>
    <w:rsid w:val="00695047"/>
    <w:rsid w:val="006958CF"/>
    <w:rsid w:val="00696A33"/>
    <w:rsid w:val="006970DF"/>
    <w:rsid w:val="006A2D3C"/>
    <w:rsid w:val="006A343A"/>
    <w:rsid w:val="006A3455"/>
    <w:rsid w:val="006A415E"/>
    <w:rsid w:val="006A75C2"/>
    <w:rsid w:val="006B4E77"/>
    <w:rsid w:val="006B70EA"/>
    <w:rsid w:val="006C05E0"/>
    <w:rsid w:val="006C0D6D"/>
    <w:rsid w:val="006C12FE"/>
    <w:rsid w:val="006C2C87"/>
    <w:rsid w:val="006C4728"/>
    <w:rsid w:val="006C5248"/>
    <w:rsid w:val="006C5695"/>
    <w:rsid w:val="006C7065"/>
    <w:rsid w:val="006C78AE"/>
    <w:rsid w:val="006C7FD4"/>
    <w:rsid w:val="006D1443"/>
    <w:rsid w:val="006D4951"/>
    <w:rsid w:val="006E04E3"/>
    <w:rsid w:val="006E06B1"/>
    <w:rsid w:val="006E0E25"/>
    <w:rsid w:val="006E1A48"/>
    <w:rsid w:val="006E1A87"/>
    <w:rsid w:val="006E265C"/>
    <w:rsid w:val="006E474E"/>
    <w:rsid w:val="006E4A48"/>
    <w:rsid w:val="007034CC"/>
    <w:rsid w:val="007059C6"/>
    <w:rsid w:val="007077F8"/>
    <w:rsid w:val="0070790B"/>
    <w:rsid w:val="00707F59"/>
    <w:rsid w:val="00712EE9"/>
    <w:rsid w:val="007146E1"/>
    <w:rsid w:val="00714A03"/>
    <w:rsid w:val="00714B52"/>
    <w:rsid w:val="00714EDE"/>
    <w:rsid w:val="00714F75"/>
    <w:rsid w:val="00715433"/>
    <w:rsid w:val="00715DF2"/>
    <w:rsid w:val="007168D1"/>
    <w:rsid w:val="0071771D"/>
    <w:rsid w:val="007224B2"/>
    <w:rsid w:val="0072262E"/>
    <w:rsid w:val="00722AF5"/>
    <w:rsid w:val="007235E8"/>
    <w:rsid w:val="0072504F"/>
    <w:rsid w:val="00725872"/>
    <w:rsid w:val="0072688D"/>
    <w:rsid w:val="007268F3"/>
    <w:rsid w:val="00726BB1"/>
    <w:rsid w:val="00730839"/>
    <w:rsid w:val="007319A8"/>
    <w:rsid w:val="00732E5D"/>
    <w:rsid w:val="00734128"/>
    <w:rsid w:val="00735121"/>
    <w:rsid w:val="007353F5"/>
    <w:rsid w:val="00735E4A"/>
    <w:rsid w:val="00737A85"/>
    <w:rsid w:val="00740A9E"/>
    <w:rsid w:val="00741541"/>
    <w:rsid w:val="0074359C"/>
    <w:rsid w:val="00745248"/>
    <w:rsid w:val="00745751"/>
    <w:rsid w:val="00750412"/>
    <w:rsid w:val="007508AD"/>
    <w:rsid w:val="00751588"/>
    <w:rsid w:val="00751857"/>
    <w:rsid w:val="00753D5E"/>
    <w:rsid w:val="00756215"/>
    <w:rsid w:val="00756BE9"/>
    <w:rsid w:val="00757B06"/>
    <w:rsid w:val="00757D60"/>
    <w:rsid w:val="00761658"/>
    <w:rsid w:val="0076200E"/>
    <w:rsid w:val="007625B0"/>
    <w:rsid w:val="0076415B"/>
    <w:rsid w:val="00764218"/>
    <w:rsid w:val="00766038"/>
    <w:rsid w:val="00766347"/>
    <w:rsid w:val="00766FE6"/>
    <w:rsid w:val="00767081"/>
    <w:rsid w:val="007676AF"/>
    <w:rsid w:val="0077070F"/>
    <w:rsid w:val="007718D9"/>
    <w:rsid w:val="0077227C"/>
    <w:rsid w:val="007733CE"/>
    <w:rsid w:val="00775E45"/>
    <w:rsid w:val="00776398"/>
    <w:rsid w:val="00777BD9"/>
    <w:rsid w:val="00782128"/>
    <w:rsid w:val="00782ABA"/>
    <w:rsid w:val="007837DB"/>
    <w:rsid w:val="007844BB"/>
    <w:rsid w:val="00787752"/>
    <w:rsid w:val="00790C1B"/>
    <w:rsid w:val="00791694"/>
    <w:rsid w:val="0079310E"/>
    <w:rsid w:val="007939F9"/>
    <w:rsid w:val="00794581"/>
    <w:rsid w:val="00794763"/>
    <w:rsid w:val="0079509C"/>
    <w:rsid w:val="0079588F"/>
    <w:rsid w:val="00796E74"/>
    <w:rsid w:val="007A2159"/>
    <w:rsid w:val="007A2B4F"/>
    <w:rsid w:val="007A5B32"/>
    <w:rsid w:val="007B0F55"/>
    <w:rsid w:val="007B444A"/>
    <w:rsid w:val="007B4EC5"/>
    <w:rsid w:val="007B5717"/>
    <w:rsid w:val="007B5B17"/>
    <w:rsid w:val="007B5EB7"/>
    <w:rsid w:val="007B6E72"/>
    <w:rsid w:val="007C03D3"/>
    <w:rsid w:val="007C10F3"/>
    <w:rsid w:val="007C1362"/>
    <w:rsid w:val="007C7343"/>
    <w:rsid w:val="007C76B1"/>
    <w:rsid w:val="007D0A69"/>
    <w:rsid w:val="007D13B4"/>
    <w:rsid w:val="007D1860"/>
    <w:rsid w:val="007D2B3F"/>
    <w:rsid w:val="007D2BEB"/>
    <w:rsid w:val="007D2CFF"/>
    <w:rsid w:val="007D7A72"/>
    <w:rsid w:val="007E0A5E"/>
    <w:rsid w:val="007E228C"/>
    <w:rsid w:val="007E3078"/>
    <w:rsid w:val="007E5712"/>
    <w:rsid w:val="007E5B95"/>
    <w:rsid w:val="007E6DA8"/>
    <w:rsid w:val="007E7D6F"/>
    <w:rsid w:val="007F1A9D"/>
    <w:rsid w:val="007F1FB5"/>
    <w:rsid w:val="007F26E4"/>
    <w:rsid w:val="007F4B26"/>
    <w:rsid w:val="007F51CA"/>
    <w:rsid w:val="007F5660"/>
    <w:rsid w:val="007F6F02"/>
    <w:rsid w:val="00800304"/>
    <w:rsid w:val="00802899"/>
    <w:rsid w:val="00802CC4"/>
    <w:rsid w:val="00805027"/>
    <w:rsid w:val="008102A8"/>
    <w:rsid w:val="00810963"/>
    <w:rsid w:val="00811936"/>
    <w:rsid w:val="00811D41"/>
    <w:rsid w:val="008152FF"/>
    <w:rsid w:val="00823B9A"/>
    <w:rsid w:val="0082632F"/>
    <w:rsid w:val="00826D4E"/>
    <w:rsid w:val="00830B8C"/>
    <w:rsid w:val="00830CD7"/>
    <w:rsid w:val="00840D7F"/>
    <w:rsid w:val="00842309"/>
    <w:rsid w:val="0084295C"/>
    <w:rsid w:val="00843118"/>
    <w:rsid w:val="00843694"/>
    <w:rsid w:val="00847AE9"/>
    <w:rsid w:val="008514CF"/>
    <w:rsid w:val="008537CD"/>
    <w:rsid w:val="0085621E"/>
    <w:rsid w:val="00860804"/>
    <w:rsid w:val="00861843"/>
    <w:rsid w:val="00861FA9"/>
    <w:rsid w:val="008635D7"/>
    <w:rsid w:val="00863F9D"/>
    <w:rsid w:val="008645B4"/>
    <w:rsid w:val="00865DD5"/>
    <w:rsid w:val="00866BC6"/>
    <w:rsid w:val="008724E6"/>
    <w:rsid w:val="008728BF"/>
    <w:rsid w:val="00872C78"/>
    <w:rsid w:val="00873995"/>
    <w:rsid w:val="00873F07"/>
    <w:rsid w:val="008758AE"/>
    <w:rsid w:val="008807FC"/>
    <w:rsid w:val="0088160F"/>
    <w:rsid w:val="00882640"/>
    <w:rsid w:val="00883623"/>
    <w:rsid w:val="00883AFD"/>
    <w:rsid w:val="00893E8C"/>
    <w:rsid w:val="008942BD"/>
    <w:rsid w:val="00895240"/>
    <w:rsid w:val="0089626F"/>
    <w:rsid w:val="00896C42"/>
    <w:rsid w:val="008A2501"/>
    <w:rsid w:val="008A2B16"/>
    <w:rsid w:val="008A2FFB"/>
    <w:rsid w:val="008A30E2"/>
    <w:rsid w:val="008A35C3"/>
    <w:rsid w:val="008A4025"/>
    <w:rsid w:val="008A4075"/>
    <w:rsid w:val="008A65B9"/>
    <w:rsid w:val="008A6DDC"/>
    <w:rsid w:val="008B286C"/>
    <w:rsid w:val="008B52ED"/>
    <w:rsid w:val="008B64EF"/>
    <w:rsid w:val="008B77BE"/>
    <w:rsid w:val="008C0EBB"/>
    <w:rsid w:val="008C0F44"/>
    <w:rsid w:val="008C18C1"/>
    <w:rsid w:val="008C3B0C"/>
    <w:rsid w:val="008C47B9"/>
    <w:rsid w:val="008C575E"/>
    <w:rsid w:val="008D0C6A"/>
    <w:rsid w:val="008D2775"/>
    <w:rsid w:val="008D2952"/>
    <w:rsid w:val="008D2973"/>
    <w:rsid w:val="008D2D45"/>
    <w:rsid w:val="008D3A70"/>
    <w:rsid w:val="008D3C00"/>
    <w:rsid w:val="008D588F"/>
    <w:rsid w:val="008E0AC8"/>
    <w:rsid w:val="008E0FDF"/>
    <w:rsid w:val="008E644D"/>
    <w:rsid w:val="008E693B"/>
    <w:rsid w:val="008E7018"/>
    <w:rsid w:val="008E7028"/>
    <w:rsid w:val="008F14E5"/>
    <w:rsid w:val="008F1FF8"/>
    <w:rsid w:val="008F389B"/>
    <w:rsid w:val="008F3BFD"/>
    <w:rsid w:val="008F6B01"/>
    <w:rsid w:val="008F7B69"/>
    <w:rsid w:val="008F7EEC"/>
    <w:rsid w:val="00902A1C"/>
    <w:rsid w:val="009046A6"/>
    <w:rsid w:val="009046AE"/>
    <w:rsid w:val="009059BD"/>
    <w:rsid w:val="00906A52"/>
    <w:rsid w:val="00911D01"/>
    <w:rsid w:val="00912A06"/>
    <w:rsid w:val="00912B55"/>
    <w:rsid w:val="00912C99"/>
    <w:rsid w:val="00914189"/>
    <w:rsid w:val="00920A2C"/>
    <w:rsid w:val="00921766"/>
    <w:rsid w:val="00921E51"/>
    <w:rsid w:val="00924643"/>
    <w:rsid w:val="009249DC"/>
    <w:rsid w:val="00925F5C"/>
    <w:rsid w:val="00927144"/>
    <w:rsid w:val="0093029B"/>
    <w:rsid w:val="00930428"/>
    <w:rsid w:val="00933745"/>
    <w:rsid w:val="00933E48"/>
    <w:rsid w:val="00934E29"/>
    <w:rsid w:val="00935382"/>
    <w:rsid w:val="00940D92"/>
    <w:rsid w:val="00940DBF"/>
    <w:rsid w:val="0094347F"/>
    <w:rsid w:val="00950E9F"/>
    <w:rsid w:val="009513AB"/>
    <w:rsid w:val="00955486"/>
    <w:rsid w:val="00956390"/>
    <w:rsid w:val="009567CC"/>
    <w:rsid w:val="00960B10"/>
    <w:rsid w:val="00961303"/>
    <w:rsid w:val="00961EAD"/>
    <w:rsid w:val="00962B38"/>
    <w:rsid w:val="00963EB1"/>
    <w:rsid w:val="00965139"/>
    <w:rsid w:val="0096624F"/>
    <w:rsid w:val="00967135"/>
    <w:rsid w:val="00967236"/>
    <w:rsid w:val="009705F3"/>
    <w:rsid w:val="00972275"/>
    <w:rsid w:val="009743DA"/>
    <w:rsid w:val="00975B6D"/>
    <w:rsid w:val="00976BA0"/>
    <w:rsid w:val="0097741E"/>
    <w:rsid w:val="00977B54"/>
    <w:rsid w:val="00982121"/>
    <w:rsid w:val="0098364E"/>
    <w:rsid w:val="00983F82"/>
    <w:rsid w:val="009842A2"/>
    <w:rsid w:val="00986A8A"/>
    <w:rsid w:val="00990B7F"/>
    <w:rsid w:val="00992B5C"/>
    <w:rsid w:val="00993525"/>
    <w:rsid w:val="00993587"/>
    <w:rsid w:val="00996844"/>
    <w:rsid w:val="00997419"/>
    <w:rsid w:val="00997604"/>
    <w:rsid w:val="009A1AAA"/>
    <w:rsid w:val="009B1C09"/>
    <w:rsid w:val="009B5A47"/>
    <w:rsid w:val="009B6368"/>
    <w:rsid w:val="009B6478"/>
    <w:rsid w:val="009B7C7B"/>
    <w:rsid w:val="009C012C"/>
    <w:rsid w:val="009C0203"/>
    <w:rsid w:val="009C0995"/>
    <w:rsid w:val="009C0F96"/>
    <w:rsid w:val="009C140D"/>
    <w:rsid w:val="009C4613"/>
    <w:rsid w:val="009C5C95"/>
    <w:rsid w:val="009D0C6E"/>
    <w:rsid w:val="009D0E7F"/>
    <w:rsid w:val="009D3FF1"/>
    <w:rsid w:val="009D4EFB"/>
    <w:rsid w:val="009D53F4"/>
    <w:rsid w:val="009D6ED3"/>
    <w:rsid w:val="009D734D"/>
    <w:rsid w:val="009D7581"/>
    <w:rsid w:val="009E0874"/>
    <w:rsid w:val="009E56EE"/>
    <w:rsid w:val="009F12F5"/>
    <w:rsid w:val="009F154E"/>
    <w:rsid w:val="009F16B0"/>
    <w:rsid w:val="009F1BB2"/>
    <w:rsid w:val="009F32E0"/>
    <w:rsid w:val="009F4655"/>
    <w:rsid w:val="009F4CA7"/>
    <w:rsid w:val="009F6EDE"/>
    <w:rsid w:val="00A0190B"/>
    <w:rsid w:val="00A01AC9"/>
    <w:rsid w:val="00A03D76"/>
    <w:rsid w:val="00A0446C"/>
    <w:rsid w:val="00A051FB"/>
    <w:rsid w:val="00A0536E"/>
    <w:rsid w:val="00A06641"/>
    <w:rsid w:val="00A10273"/>
    <w:rsid w:val="00A10F13"/>
    <w:rsid w:val="00A119ED"/>
    <w:rsid w:val="00A12AED"/>
    <w:rsid w:val="00A12F3D"/>
    <w:rsid w:val="00A1672A"/>
    <w:rsid w:val="00A2075A"/>
    <w:rsid w:val="00A20FE4"/>
    <w:rsid w:val="00A21540"/>
    <w:rsid w:val="00A22414"/>
    <w:rsid w:val="00A22A67"/>
    <w:rsid w:val="00A23446"/>
    <w:rsid w:val="00A23D4B"/>
    <w:rsid w:val="00A25942"/>
    <w:rsid w:val="00A260FC"/>
    <w:rsid w:val="00A278FA"/>
    <w:rsid w:val="00A312C4"/>
    <w:rsid w:val="00A34D59"/>
    <w:rsid w:val="00A356DD"/>
    <w:rsid w:val="00A37F4F"/>
    <w:rsid w:val="00A41603"/>
    <w:rsid w:val="00A4251E"/>
    <w:rsid w:val="00A43D8E"/>
    <w:rsid w:val="00A44B5B"/>
    <w:rsid w:val="00A46C82"/>
    <w:rsid w:val="00A537B5"/>
    <w:rsid w:val="00A5547F"/>
    <w:rsid w:val="00A55D03"/>
    <w:rsid w:val="00A567D3"/>
    <w:rsid w:val="00A56835"/>
    <w:rsid w:val="00A57744"/>
    <w:rsid w:val="00A61873"/>
    <w:rsid w:val="00A62535"/>
    <w:rsid w:val="00A62E90"/>
    <w:rsid w:val="00A64CF1"/>
    <w:rsid w:val="00A65E8B"/>
    <w:rsid w:val="00A715F5"/>
    <w:rsid w:val="00A7180F"/>
    <w:rsid w:val="00A72A53"/>
    <w:rsid w:val="00A72DC4"/>
    <w:rsid w:val="00A74872"/>
    <w:rsid w:val="00A8039F"/>
    <w:rsid w:val="00A83D12"/>
    <w:rsid w:val="00A85121"/>
    <w:rsid w:val="00A862A7"/>
    <w:rsid w:val="00A875AE"/>
    <w:rsid w:val="00A901EB"/>
    <w:rsid w:val="00A90934"/>
    <w:rsid w:val="00A90A9C"/>
    <w:rsid w:val="00A9178D"/>
    <w:rsid w:val="00A944FF"/>
    <w:rsid w:val="00A94D8C"/>
    <w:rsid w:val="00A96BB8"/>
    <w:rsid w:val="00AA13A8"/>
    <w:rsid w:val="00AA2E40"/>
    <w:rsid w:val="00AA46DE"/>
    <w:rsid w:val="00AA65BE"/>
    <w:rsid w:val="00AB10DC"/>
    <w:rsid w:val="00AB16C6"/>
    <w:rsid w:val="00AB51F2"/>
    <w:rsid w:val="00AB7BCE"/>
    <w:rsid w:val="00AC26C9"/>
    <w:rsid w:val="00AC3D81"/>
    <w:rsid w:val="00AC66FC"/>
    <w:rsid w:val="00AC6BDA"/>
    <w:rsid w:val="00AD087C"/>
    <w:rsid w:val="00AD4823"/>
    <w:rsid w:val="00AD7A5C"/>
    <w:rsid w:val="00AE0E81"/>
    <w:rsid w:val="00AE11F2"/>
    <w:rsid w:val="00AE18FD"/>
    <w:rsid w:val="00AE5072"/>
    <w:rsid w:val="00AE52C1"/>
    <w:rsid w:val="00AE5FF7"/>
    <w:rsid w:val="00AE6851"/>
    <w:rsid w:val="00AE6E02"/>
    <w:rsid w:val="00AF143C"/>
    <w:rsid w:val="00AF3938"/>
    <w:rsid w:val="00AF3CAA"/>
    <w:rsid w:val="00AF6B44"/>
    <w:rsid w:val="00AF70FB"/>
    <w:rsid w:val="00B00926"/>
    <w:rsid w:val="00B00A8B"/>
    <w:rsid w:val="00B04E8E"/>
    <w:rsid w:val="00B077E8"/>
    <w:rsid w:val="00B10110"/>
    <w:rsid w:val="00B111E4"/>
    <w:rsid w:val="00B12104"/>
    <w:rsid w:val="00B127E4"/>
    <w:rsid w:val="00B140F8"/>
    <w:rsid w:val="00B14C51"/>
    <w:rsid w:val="00B14CCC"/>
    <w:rsid w:val="00B1506E"/>
    <w:rsid w:val="00B16261"/>
    <w:rsid w:val="00B20FA7"/>
    <w:rsid w:val="00B20FAD"/>
    <w:rsid w:val="00B22040"/>
    <w:rsid w:val="00B2348D"/>
    <w:rsid w:val="00B23741"/>
    <w:rsid w:val="00B2587B"/>
    <w:rsid w:val="00B26A5D"/>
    <w:rsid w:val="00B27F82"/>
    <w:rsid w:val="00B30C22"/>
    <w:rsid w:val="00B30F3C"/>
    <w:rsid w:val="00B30FDB"/>
    <w:rsid w:val="00B31579"/>
    <w:rsid w:val="00B319F8"/>
    <w:rsid w:val="00B32AFF"/>
    <w:rsid w:val="00B35547"/>
    <w:rsid w:val="00B35BDE"/>
    <w:rsid w:val="00B363AC"/>
    <w:rsid w:val="00B367A9"/>
    <w:rsid w:val="00B40052"/>
    <w:rsid w:val="00B40B85"/>
    <w:rsid w:val="00B40D29"/>
    <w:rsid w:val="00B41EB0"/>
    <w:rsid w:val="00B42A25"/>
    <w:rsid w:val="00B42EA9"/>
    <w:rsid w:val="00B4376D"/>
    <w:rsid w:val="00B43B9A"/>
    <w:rsid w:val="00B44D8B"/>
    <w:rsid w:val="00B451E4"/>
    <w:rsid w:val="00B47BAB"/>
    <w:rsid w:val="00B50C8F"/>
    <w:rsid w:val="00B512F8"/>
    <w:rsid w:val="00B51E87"/>
    <w:rsid w:val="00B55AE2"/>
    <w:rsid w:val="00B60F78"/>
    <w:rsid w:val="00B61705"/>
    <w:rsid w:val="00B666C0"/>
    <w:rsid w:val="00B66B22"/>
    <w:rsid w:val="00B75880"/>
    <w:rsid w:val="00B76817"/>
    <w:rsid w:val="00B811BC"/>
    <w:rsid w:val="00B82CE6"/>
    <w:rsid w:val="00B839A4"/>
    <w:rsid w:val="00B83B6C"/>
    <w:rsid w:val="00B90C60"/>
    <w:rsid w:val="00B929ED"/>
    <w:rsid w:val="00B92C1F"/>
    <w:rsid w:val="00B94224"/>
    <w:rsid w:val="00B96725"/>
    <w:rsid w:val="00B96849"/>
    <w:rsid w:val="00B97E2E"/>
    <w:rsid w:val="00BA3D01"/>
    <w:rsid w:val="00BA5A14"/>
    <w:rsid w:val="00BA631B"/>
    <w:rsid w:val="00BA7853"/>
    <w:rsid w:val="00BB09A4"/>
    <w:rsid w:val="00BB1372"/>
    <w:rsid w:val="00BB32FB"/>
    <w:rsid w:val="00BB3805"/>
    <w:rsid w:val="00BB689B"/>
    <w:rsid w:val="00BC7107"/>
    <w:rsid w:val="00BD134B"/>
    <w:rsid w:val="00BD1D91"/>
    <w:rsid w:val="00BD2AE1"/>
    <w:rsid w:val="00BD389A"/>
    <w:rsid w:val="00BD3F8A"/>
    <w:rsid w:val="00BD4250"/>
    <w:rsid w:val="00BD746F"/>
    <w:rsid w:val="00BD74EE"/>
    <w:rsid w:val="00BD78CA"/>
    <w:rsid w:val="00BE09CA"/>
    <w:rsid w:val="00BE2660"/>
    <w:rsid w:val="00BE2D67"/>
    <w:rsid w:val="00BE37C3"/>
    <w:rsid w:val="00BE5868"/>
    <w:rsid w:val="00BE70D4"/>
    <w:rsid w:val="00BF1865"/>
    <w:rsid w:val="00BF1BD3"/>
    <w:rsid w:val="00BF40E8"/>
    <w:rsid w:val="00BF45D3"/>
    <w:rsid w:val="00BF5717"/>
    <w:rsid w:val="00BF68AE"/>
    <w:rsid w:val="00BF73C9"/>
    <w:rsid w:val="00C002FB"/>
    <w:rsid w:val="00C0077B"/>
    <w:rsid w:val="00C00C07"/>
    <w:rsid w:val="00C01178"/>
    <w:rsid w:val="00C012C5"/>
    <w:rsid w:val="00C04594"/>
    <w:rsid w:val="00C07124"/>
    <w:rsid w:val="00C07732"/>
    <w:rsid w:val="00C0775E"/>
    <w:rsid w:val="00C1444E"/>
    <w:rsid w:val="00C236B8"/>
    <w:rsid w:val="00C24466"/>
    <w:rsid w:val="00C24BED"/>
    <w:rsid w:val="00C2612B"/>
    <w:rsid w:val="00C26D3D"/>
    <w:rsid w:val="00C3124E"/>
    <w:rsid w:val="00C346CD"/>
    <w:rsid w:val="00C34C36"/>
    <w:rsid w:val="00C34DAB"/>
    <w:rsid w:val="00C35377"/>
    <w:rsid w:val="00C35D14"/>
    <w:rsid w:val="00C375BF"/>
    <w:rsid w:val="00C37B6B"/>
    <w:rsid w:val="00C40BC4"/>
    <w:rsid w:val="00C45F37"/>
    <w:rsid w:val="00C46004"/>
    <w:rsid w:val="00C47EA3"/>
    <w:rsid w:val="00C502BC"/>
    <w:rsid w:val="00C50419"/>
    <w:rsid w:val="00C52635"/>
    <w:rsid w:val="00C52954"/>
    <w:rsid w:val="00C54374"/>
    <w:rsid w:val="00C54D8F"/>
    <w:rsid w:val="00C54EBF"/>
    <w:rsid w:val="00C56EA6"/>
    <w:rsid w:val="00C576A7"/>
    <w:rsid w:val="00C605F3"/>
    <w:rsid w:val="00C6091F"/>
    <w:rsid w:val="00C61449"/>
    <w:rsid w:val="00C61E55"/>
    <w:rsid w:val="00C627DF"/>
    <w:rsid w:val="00C630DF"/>
    <w:rsid w:val="00C64BAE"/>
    <w:rsid w:val="00C6520F"/>
    <w:rsid w:val="00C66D5E"/>
    <w:rsid w:val="00C701CB"/>
    <w:rsid w:val="00C71F61"/>
    <w:rsid w:val="00C73170"/>
    <w:rsid w:val="00C7350E"/>
    <w:rsid w:val="00C73EDE"/>
    <w:rsid w:val="00C81E4E"/>
    <w:rsid w:val="00C82656"/>
    <w:rsid w:val="00C830A7"/>
    <w:rsid w:val="00C83D12"/>
    <w:rsid w:val="00C86573"/>
    <w:rsid w:val="00C86B3A"/>
    <w:rsid w:val="00C86E80"/>
    <w:rsid w:val="00C87847"/>
    <w:rsid w:val="00C879AD"/>
    <w:rsid w:val="00C91CA7"/>
    <w:rsid w:val="00C932F6"/>
    <w:rsid w:val="00CA2E4C"/>
    <w:rsid w:val="00CA64DD"/>
    <w:rsid w:val="00CA6ADE"/>
    <w:rsid w:val="00CB00A1"/>
    <w:rsid w:val="00CB19D9"/>
    <w:rsid w:val="00CB1EDB"/>
    <w:rsid w:val="00CB3038"/>
    <w:rsid w:val="00CB3D37"/>
    <w:rsid w:val="00CB59ED"/>
    <w:rsid w:val="00CC2D69"/>
    <w:rsid w:val="00CC4807"/>
    <w:rsid w:val="00CC4903"/>
    <w:rsid w:val="00CC4B2A"/>
    <w:rsid w:val="00CC4B39"/>
    <w:rsid w:val="00CC5905"/>
    <w:rsid w:val="00CC7F7A"/>
    <w:rsid w:val="00CD4EB9"/>
    <w:rsid w:val="00CD6289"/>
    <w:rsid w:val="00CD6573"/>
    <w:rsid w:val="00CE0AD6"/>
    <w:rsid w:val="00CE4CF9"/>
    <w:rsid w:val="00CE6B3F"/>
    <w:rsid w:val="00CF03AF"/>
    <w:rsid w:val="00CF0617"/>
    <w:rsid w:val="00CF2840"/>
    <w:rsid w:val="00CF28A9"/>
    <w:rsid w:val="00CF4CA5"/>
    <w:rsid w:val="00CF4E9F"/>
    <w:rsid w:val="00CF4F33"/>
    <w:rsid w:val="00CF737A"/>
    <w:rsid w:val="00D0023D"/>
    <w:rsid w:val="00D00332"/>
    <w:rsid w:val="00D0125E"/>
    <w:rsid w:val="00D04987"/>
    <w:rsid w:val="00D128E0"/>
    <w:rsid w:val="00D13B47"/>
    <w:rsid w:val="00D1716F"/>
    <w:rsid w:val="00D21DD6"/>
    <w:rsid w:val="00D22879"/>
    <w:rsid w:val="00D24621"/>
    <w:rsid w:val="00D25220"/>
    <w:rsid w:val="00D25254"/>
    <w:rsid w:val="00D260E1"/>
    <w:rsid w:val="00D31211"/>
    <w:rsid w:val="00D3192D"/>
    <w:rsid w:val="00D32542"/>
    <w:rsid w:val="00D32993"/>
    <w:rsid w:val="00D329F8"/>
    <w:rsid w:val="00D3371E"/>
    <w:rsid w:val="00D339D6"/>
    <w:rsid w:val="00D34115"/>
    <w:rsid w:val="00D34D2E"/>
    <w:rsid w:val="00D365F3"/>
    <w:rsid w:val="00D36FE2"/>
    <w:rsid w:val="00D404B8"/>
    <w:rsid w:val="00D41624"/>
    <w:rsid w:val="00D435BA"/>
    <w:rsid w:val="00D441F8"/>
    <w:rsid w:val="00D44430"/>
    <w:rsid w:val="00D44BEE"/>
    <w:rsid w:val="00D46169"/>
    <w:rsid w:val="00D477E3"/>
    <w:rsid w:val="00D5015A"/>
    <w:rsid w:val="00D56C09"/>
    <w:rsid w:val="00D616A3"/>
    <w:rsid w:val="00D639DA"/>
    <w:rsid w:val="00D63CB7"/>
    <w:rsid w:val="00D64B1D"/>
    <w:rsid w:val="00D65BE9"/>
    <w:rsid w:val="00D67BD1"/>
    <w:rsid w:val="00D723D6"/>
    <w:rsid w:val="00D76642"/>
    <w:rsid w:val="00D81A38"/>
    <w:rsid w:val="00D85F8D"/>
    <w:rsid w:val="00D8644F"/>
    <w:rsid w:val="00D87BE3"/>
    <w:rsid w:val="00D907B2"/>
    <w:rsid w:val="00D90FB2"/>
    <w:rsid w:val="00D911B4"/>
    <w:rsid w:val="00D922D6"/>
    <w:rsid w:val="00D92412"/>
    <w:rsid w:val="00D939FE"/>
    <w:rsid w:val="00D94075"/>
    <w:rsid w:val="00D950BC"/>
    <w:rsid w:val="00D9591A"/>
    <w:rsid w:val="00D9717A"/>
    <w:rsid w:val="00DA0149"/>
    <w:rsid w:val="00DA0E6B"/>
    <w:rsid w:val="00DA29AA"/>
    <w:rsid w:val="00DA3E83"/>
    <w:rsid w:val="00DA50F2"/>
    <w:rsid w:val="00DA5E67"/>
    <w:rsid w:val="00DA6E1C"/>
    <w:rsid w:val="00DB2C89"/>
    <w:rsid w:val="00DB40FF"/>
    <w:rsid w:val="00DB434C"/>
    <w:rsid w:val="00DB6C38"/>
    <w:rsid w:val="00DB6FF3"/>
    <w:rsid w:val="00DC0ABB"/>
    <w:rsid w:val="00DC0DC5"/>
    <w:rsid w:val="00DC1945"/>
    <w:rsid w:val="00DC5236"/>
    <w:rsid w:val="00DC5A93"/>
    <w:rsid w:val="00DC71F1"/>
    <w:rsid w:val="00DD0DF1"/>
    <w:rsid w:val="00DD640C"/>
    <w:rsid w:val="00DD7D0A"/>
    <w:rsid w:val="00DE0707"/>
    <w:rsid w:val="00DE167D"/>
    <w:rsid w:val="00DE2448"/>
    <w:rsid w:val="00DE2A1A"/>
    <w:rsid w:val="00DE5DE1"/>
    <w:rsid w:val="00DE6DEE"/>
    <w:rsid w:val="00DE7B71"/>
    <w:rsid w:val="00DF1078"/>
    <w:rsid w:val="00DF3344"/>
    <w:rsid w:val="00DF45A0"/>
    <w:rsid w:val="00DF4B1B"/>
    <w:rsid w:val="00DF51D7"/>
    <w:rsid w:val="00DF5A6E"/>
    <w:rsid w:val="00E0119C"/>
    <w:rsid w:val="00E01F42"/>
    <w:rsid w:val="00E0246B"/>
    <w:rsid w:val="00E0300D"/>
    <w:rsid w:val="00E105D8"/>
    <w:rsid w:val="00E11731"/>
    <w:rsid w:val="00E1201E"/>
    <w:rsid w:val="00E12848"/>
    <w:rsid w:val="00E12B4D"/>
    <w:rsid w:val="00E17200"/>
    <w:rsid w:val="00E17EEB"/>
    <w:rsid w:val="00E20649"/>
    <w:rsid w:val="00E21E29"/>
    <w:rsid w:val="00E2391F"/>
    <w:rsid w:val="00E24472"/>
    <w:rsid w:val="00E24D45"/>
    <w:rsid w:val="00E259EC"/>
    <w:rsid w:val="00E262E5"/>
    <w:rsid w:val="00E30E95"/>
    <w:rsid w:val="00E325A3"/>
    <w:rsid w:val="00E3277A"/>
    <w:rsid w:val="00E3290C"/>
    <w:rsid w:val="00E338EA"/>
    <w:rsid w:val="00E34A30"/>
    <w:rsid w:val="00E35074"/>
    <w:rsid w:val="00E35206"/>
    <w:rsid w:val="00E36C9E"/>
    <w:rsid w:val="00E37283"/>
    <w:rsid w:val="00E37FCE"/>
    <w:rsid w:val="00E40E49"/>
    <w:rsid w:val="00E412EA"/>
    <w:rsid w:val="00E422E5"/>
    <w:rsid w:val="00E42AD7"/>
    <w:rsid w:val="00E47214"/>
    <w:rsid w:val="00E50FC6"/>
    <w:rsid w:val="00E525BD"/>
    <w:rsid w:val="00E530D3"/>
    <w:rsid w:val="00E54A4E"/>
    <w:rsid w:val="00E55236"/>
    <w:rsid w:val="00E55DA1"/>
    <w:rsid w:val="00E567B1"/>
    <w:rsid w:val="00E600F6"/>
    <w:rsid w:val="00E65755"/>
    <w:rsid w:val="00E72C6C"/>
    <w:rsid w:val="00E75769"/>
    <w:rsid w:val="00E770D5"/>
    <w:rsid w:val="00E77A93"/>
    <w:rsid w:val="00E77B58"/>
    <w:rsid w:val="00E81903"/>
    <w:rsid w:val="00E83D03"/>
    <w:rsid w:val="00E84085"/>
    <w:rsid w:val="00E8430E"/>
    <w:rsid w:val="00E84769"/>
    <w:rsid w:val="00E85422"/>
    <w:rsid w:val="00E855CE"/>
    <w:rsid w:val="00E86C6A"/>
    <w:rsid w:val="00E90885"/>
    <w:rsid w:val="00E9175D"/>
    <w:rsid w:val="00E95E27"/>
    <w:rsid w:val="00E96AB2"/>
    <w:rsid w:val="00E97DC2"/>
    <w:rsid w:val="00EA0E19"/>
    <w:rsid w:val="00EA0F2E"/>
    <w:rsid w:val="00EA2531"/>
    <w:rsid w:val="00EA399A"/>
    <w:rsid w:val="00EA4102"/>
    <w:rsid w:val="00EA4739"/>
    <w:rsid w:val="00EA596D"/>
    <w:rsid w:val="00EA5D6C"/>
    <w:rsid w:val="00EA790E"/>
    <w:rsid w:val="00EB0038"/>
    <w:rsid w:val="00EB0B86"/>
    <w:rsid w:val="00EB1185"/>
    <w:rsid w:val="00EB3FC7"/>
    <w:rsid w:val="00EC0234"/>
    <w:rsid w:val="00EC17ED"/>
    <w:rsid w:val="00EC378D"/>
    <w:rsid w:val="00EC638E"/>
    <w:rsid w:val="00EC7E56"/>
    <w:rsid w:val="00EC7F90"/>
    <w:rsid w:val="00ED0CDC"/>
    <w:rsid w:val="00ED1FE4"/>
    <w:rsid w:val="00ED213F"/>
    <w:rsid w:val="00ED369A"/>
    <w:rsid w:val="00ED36AC"/>
    <w:rsid w:val="00ED6C63"/>
    <w:rsid w:val="00ED7F98"/>
    <w:rsid w:val="00EE04A1"/>
    <w:rsid w:val="00EE0E3B"/>
    <w:rsid w:val="00EE1F92"/>
    <w:rsid w:val="00EE2C93"/>
    <w:rsid w:val="00EE3D56"/>
    <w:rsid w:val="00EE4328"/>
    <w:rsid w:val="00EE4802"/>
    <w:rsid w:val="00EE4840"/>
    <w:rsid w:val="00EE5A53"/>
    <w:rsid w:val="00EE62FF"/>
    <w:rsid w:val="00EE78C0"/>
    <w:rsid w:val="00EF066F"/>
    <w:rsid w:val="00EF0FCB"/>
    <w:rsid w:val="00EF16B8"/>
    <w:rsid w:val="00EF65BE"/>
    <w:rsid w:val="00EF7754"/>
    <w:rsid w:val="00EF7B25"/>
    <w:rsid w:val="00EF7C5B"/>
    <w:rsid w:val="00EF7CC3"/>
    <w:rsid w:val="00F0175C"/>
    <w:rsid w:val="00F02A8B"/>
    <w:rsid w:val="00F07617"/>
    <w:rsid w:val="00F1525A"/>
    <w:rsid w:val="00F234D7"/>
    <w:rsid w:val="00F256FF"/>
    <w:rsid w:val="00F25A36"/>
    <w:rsid w:val="00F26CA7"/>
    <w:rsid w:val="00F27820"/>
    <w:rsid w:val="00F27991"/>
    <w:rsid w:val="00F304A4"/>
    <w:rsid w:val="00F307EA"/>
    <w:rsid w:val="00F353E5"/>
    <w:rsid w:val="00F35C0D"/>
    <w:rsid w:val="00F365E4"/>
    <w:rsid w:val="00F3719D"/>
    <w:rsid w:val="00F4062B"/>
    <w:rsid w:val="00F43597"/>
    <w:rsid w:val="00F45B35"/>
    <w:rsid w:val="00F46936"/>
    <w:rsid w:val="00F50C74"/>
    <w:rsid w:val="00F53DF2"/>
    <w:rsid w:val="00F56848"/>
    <w:rsid w:val="00F570C0"/>
    <w:rsid w:val="00F6196D"/>
    <w:rsid w:val="00F621C8"/>
    <w:rsid w:val="00F624D1"/>
    <w:rsid w:val="00F63176"/>
    <w:rsid w:val="00F64271"/>
    <w:rsid w:val="00F717B6"/>
    <w:rsid w:val="00F71A79"/>
    <w:rsid w:val="00F726C9"/>
    <w:rsid w:val="00F74350"/>
    <w:rsid w:val="00F74DBD"/>
    <w:rsid w:val="00F7575C"/>
    <w:rsid w:val="00F75DB5"/>
    <w:rsid w:val="00F77403"/>
    <w:rsid w:val="00F806B3"/>
    <w:rsid w:val="00F829A2"/>
    <w:rsid w:val="00F82FBC"/>
    <w:rsid w:val="00F856F2"/>
    <w:rsid w:val="00F859A0"/>
    <w:rsid w:val="00F860DF"/>
    <w:rsid w:val="00F86529"/>
    <w:rsid w:val="00F86CBB"/>
    <w:rsid w:val="00F87357"/>
    <w:rsid w:val="00F91F33"/>
    <w:rsid w:val="00F937E8"/>
    <w:rsid w:val="00FA2718"/>
    <w:rsid w:val="00FA45C3"/>
    <w:rsid w:val="00FA51E5"/>
    <w:rsid w:val="00FA773C"/>
    <w:rsid w:val="00FA7873"/>
    <w:rsid w:val="00FA7B30"/>
    <w:rsid w:val="00FB05BE"/>
    <w:rsid w:val="00FB1E6F"/>
    <w:rsid w:val="00FB2DFD"/>
    <w:rsid w:val="00FB3688"/>
    <w:rsid w:val="00FB7094"/>
    <w:rsid w:val="00FC0013"/>
    <w:rsid w:val="00FC1354"/>
    <w:rsid w:val="00FC16D9"/>
    <w:rsid w:val="00FC4E89"/>
    <w:rsid w:val="00FD04C3"/>
    <w:rsid w:val="00FD0A6F"/>
    <w:rsid w:val="00FD0D17"/>
    <w:rsid w:val="00FD36DF"/>
    <w:rsid w:val="00FD4A1B"/>
    <w:rsid w:val="00FD5B77"/>
    <w:rsid w:val="00FD64ED"/>
    <w:rsid w:val="00FE32DC"/>
    <w:rsid w:val="00FE59BC"/>
    <w:rsid w:val="00FE7DDC"/>
    <w:rsid w:val="00FF0ABB"/>
    <w:rsid w:val="00FF0E4C"/>
    <w:rsid w:val="00FF0E65"/>
    <w:rsid w:val="00FF277D"/>
    <w:rsid w:val="00FF3350"/>
    <w:rsid w:val="00FF337D"/>
    <w:rsid w:val="00FF4C3E"/>
    <w:rsid w:val="01501457"/>
    <w:rsid w:val="022A06A5"/>
    <w:rsid w:val="030306D6"/>
    <w:rsid w:val="08185DDE"/>
    <w:rsid w:val="09FE55CD"/>
    <w:rsid w:val="0B565552"/>
    <w:rsid w:val="0B681D05"/>
    <w:rsid w:val="0D0239FA"/>
    <w:rsid w:val="0D8B1985"/>
    <w:rsid w:val="0DDA2348"/>
    <w:rsid w:val="0E634F56"/>
    <w:rsid w:val="0F412297"/>
    <w:rsid w:val="11E24213"/>
    <w:rsid w:val="125A04D1"/>
    <w:rsid w:val="125A42EC"/>
    <w:rsid w:val="14F7140F"/>
    <w:rsid w:val="15295747"/>
    <w:rsid w:val="15DE5928"/>
    <w:rsid w:val="15F32705"/>
    <w:rsid w:val="16854FA7"/>
    <w:rsid w:val="1797047C"/>
    <w:rsid w:val="188063EC"/>
    <w:rsid w:val="1A9645DC"/>
    <w:rsid w:val="1AF911A8"/>
    <w:rsid w:val="1B3945CE"/>
    <w:rsid w:val="1BFA63B2"/>
    <w:rsid w:val="1DF96A77"/>
    <w:rsid w:val="1EA87473"/>
    <w:rsid w:val="202E5E2C"/>
    <w:rsid w:val="20467A3B"/>
    <w:rsid w:val="228E5F5F"/>
    <w:rsid w:val="22D70688"/>
    <w:rsid w:val="22E83511"/>
    <w:rsid w:val="23375589"/>
    <w:rsid w:val="240927A8"/>
    <w:rsid w:val="2595539B"/>
    <w:rsid w:val="25B47228"/>
    <w:rsid w:val="273642BF"/>
    <w:rsid w:val="27DF5C3C"/>
    <w:rsid w:val="29004781"/>
    <w:rsid w:val="2BB01C1F"/>
    <w:rsid w:val="30E31E9A"/>
    <w:rsid w:val="314E510F"/>
    <w:rsid w:val="317002B8"/>
    <w:rsid w:val="32743E6A"/>
    <w:rsid w:val="32F03E08"/>
    <w:rsid w:val="333A77F2"/>
    <w:rsid w:val="34256535"/>
    <w:rsid w:val="358071F5"/>
    <w:rsid w:val="37AD55ED"/>
    <w:rsid w:val="39577C79"/>
    <w:rsid w:val="39963615"/>
    <w:rsid w:val="39B847E1"/>
    <w:rsid w:val="39EE0D67"/>
    <w:rsid w:val="3A0C64F9"/>
    <w:rsid w:val="3A513800"/>
    <w:rsid w:val="409318AB"/>
    <w:rsid w:val="419033C1"/>
    <w:rsid w:val="43F80FAB"/>
    <w:rsid w:val="46880BDF"/>
    <w:rsid w:val="46943812"/>
    <w:rsid w:val="487372ED"/>
    <w:rsid w:val="4915512D"/>
    <w:rsid w:val="4AB36356"/>
    <w:rsid w:val="4CB10CFE"/>
    <w:rsid w:val="4EAB31BE"/>
    <w:rsid w:val="510E37F6"/>
    <w:rsid w:val="51DB015E"/>
    <w:rsid w:val="51EF57B4"/>
    <w:rsid w:val="53AA664A"/>
    <w:rsid w:val="57254C22"/>
    <w:rsid w:val="57C22A26"/>
    <w:rsid w:val="5CDE4AF4"/>
    <w:rsid w:val="5CE95BB8"/>
    <w:rsid w:val="5DA94541"/>
    <w:rsid w:val="5DC8097B"/>
    <w:rsid w:val="5FED6A9E"/>
    <w:rsid w:val="618D3F86"/>
    <w:rsid w:val="64154993"/>
    <w:rsid w:val="65F139D1"/>
    <w:rsid w:val="69F8518A"/>
    <w:rsid w:val="6A433787"/>
    <w:rsid w:val="6BBC6DAB"/>
    <w:rsid w:val="6CA54E4B"/>
    <w:rsid w:val="6CD04FA8"/>
    <w:rsid w:val="6CDA5F41"/>
    <w:rsid w:val="6ED27319"/>
    <w:rsid w:val="6FFA5C6B"/>
    <w:rsid w:val="71F43032"/>
    <w:rsid w:val="725E05BB"/>
    <w:rsid w:val="72654BC4"/>
    <w:rsid w:val="75D902BB"/>
    <w:rsid w:val="77684E9B"/>
    <w:rsid w:val="777B7F6F"/>
    <w:rsid w:val="79C357F6"/>
    <w:rsid w:val="7AAF0F8B"/>
    <w:rsid w:val="7BA806D5"/>
    <w:rsid w:val="7CA635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27"/>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360" w:lineRule="auto"/>
      <w:ind w:left="645" w:firstLine="509" w:firstLineChars="212"/>
    </w:pPr>
    <w:rPr>
      <w:sz w:val="24"/>
    </w:rPr>
  </w:style>
  <w:style w:type="paragraph" w:styleId="4">
    <w:name w:val="Date"/>
    <w:basedOn w:val="1"/>
    <w:next w:val="1"/>
    <w:link w:val="19"/>
    <w:unhideWhenUsed/>
    <w:qFormat/>
    <w:uiPriority w:val="99"/>
    <w:pPr>
      <w:ind w:left="100" w:leftChars="2500"/>
    </w:pPr>
  </w:style>
  <w:style w:type="paragraph" w:styleId="5">
    <w:name w:val="footer"/>
    <w:basedOn w:val="1"/>
    <w:link w:val="26"/>
    <w:unhideWhenUsed/>
    <w:qFormat/>
    <w:uiPriority w:val="0"/>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rFonts w:ascii="宋体" w:hAnsi="宋体"/>
      <w:sz w:val="24"/>
      <w:szCs w:val="20"/>
    </w:rPr>
  </w:style>
  <w:style w:type="character" w:styleId="10">
    <w:name w:val="Emphasis"/>
    <w:qFormat/>
    <w:uiPriority w:val="20"/>
    <w:rPr>
      <w:i/>
      <w:iCs/>
    </w:rPr>
  </w:style>
  <w:style w:type="character" w:styleId="11">
    <w:name w:val="Hyperlink"/>
    <w:unhideWhenUsed/>
    <w:qFormat/>
    <w:uiPriority w:val="99"/>
    <w:rPr>
      <w:color w:val="0000FF"/>
      <w:u w:val="single"/>
    </w:rPr>
  </w:style>
  <w:style w:type="paragraph" w:customStyle="1" w:styleId="12">
    <w:name w:val="List Paragraph1"/>
    <w:basedOn w:val="1"/>
    <w:qFormat/>
    <w:uiPriority w:val="0"/>
    <w:pPr>
      <w:ind w:firstLine="420" w:firstLineChars="200"/>
    </w:pPr>
  </w:style>
  <w:style w:type="paragraph" w:styleId="13">
    <w:name w:val="List Paragraph"/>
    <w:basedOn w:val="1"/>
    <w:qFormat/>
    <w:uiPriority w:val="0"/>
    <w:pPr>
      <w:spacing w:line="360" w:lineRule="auto"/>
      <w:ind w:rightChars="450" w:firstLine="420" w:firstLineChars="200"/>
    </w:pPr>
    <w:rPr>
      <w:szCs w:val="20"/>
    </w:rPr>
  </w:style>
  <w:style w:type="character" w:customStyle="1" w:styleId="14">
    <w:name w:val="font131"/>
    <w:qFormat/>
    <w:uiPriority w:val="0"/>
    <w:rPr>
      <w:rFonts w:hint="eastAsia" w:ascii="宋体" w:hAnsi="宋体" w:eastAsia="宋体" w:cs="宋体"/>
      <w:color w:val="000000"/>
      <w:sz w:val="36"/>
      <w:szCs w:val="36"/>
      <w:u w:val="none"/>
    </w:rPr>
  </w:style>
  <w:style w:type="character" w:customStyle="1" w:styleId="15">
    <w:name w:val="font12"/>
    <w:qFormat/>
    <w:uiPriority w:val="0"/>
    <w:rPr>
      <w:rFonts w:hint="eastAsia" w:ascii="宋体" w:hAnsi="宋体" w:eastAsia="宋体" w:cs="宋体"/>
      <w:color w:val="000000"/>
      <w:sz w:val="20"/>
      <w:szCs w:val="20"/>
      <w:u w:val="single"/>
    </w:rPr>
  </w:style>
  <w:style w:type="character" w:customStyle="1" w:styleId="16">
    <w:name w:val="页眉 Char"/>
    <w:link w:val="6"/>
    <w:qFormat/>
    <w:uiPriority w:val="0"/>
    <w:rPr>
      <w:kern w:val="2"/>
      <w:sz w:val="18"/>
      <w:szCs w:val="18"/>
    </w:rPr>
  </w:style>
  <w:style w:type="character" w:customStyle="1" w:styleId="17">
    <w:name w:val="font91"/>
    <w:qFormat/>
    <w:uiPriority w:val="0"/>
    <w:rPr>
      <w:rFonts w:hint="default" w:ascii="Times New Roman" w:hAnsi="Times New Roman" w:cs="Times New Roman"/>
      <w:color w:val="000000"/>
      <w:sz w:val="20"/>
      <w:szCs w:val="20"/>
      <w:u w:val="none"/>
    </w:rPr>
  </w:style>
  <w:style w:type="character" w:customStyle="1" w:styleId="18">
    <w:name w:val="font31"/>
    <w:basedOn w:val="9"/>
    <w:qFormat/>
    <w:uiPriority w:val="0"/>
    <w:rPr>
      <w:rFonts w:hint="default" w:ascii="Times New Roman" w:hAnsi="Times New Roman" w:cs="Times New Roman"/>
      <w:color w:val="000000"/>
      <w:sz w:val="36"/>
      <w:szCs w:val="36"/>
      <w:u w:val="none"/>
    </w:rPr>
  </w:style>
  <w:style w:type="character" w:customStyle="1" w:styleId="19">
    <w:name w:val="日期 Char"/>
    <w:basedOn w:val="9"/>
    <w:link w:val="4"/>
    <w:semiHidden/>
    <w:qFormat/>
    <w:uiPriority w:val="99"/>
    <w:rPr>
      <w:kern w:val="2"/>
      <w:sz w:val="21"/>
      <w:szCs w:val="22"/>
    </w:rPr>
  </w:style>
  <w:style w:type="character" w:customStyle="1" w:styleId="20">
    <w:name w:val="font21"/>
    <w:qFormat/>
    <w:uiPriority w:val="0"/>
    <w:rPr>
      <w:rFonts w:hint="eastAsia" w:ascii="宋体" w:hAnsi="宋体" w:eastAsia="宋体" w:cs="宋体"/>
      <w:b/>
      <w:color w:val="800080"/>
      <w:sz w:val="20"/>
      <w:szCs w:val="20"/>
      <w:u w:val="none"/>
    </w:rPr>
  </w:style>
  <w:style w:type="character" w:customStyle="1" w:styleId="21">
    <w:name w:val="font122"/>
    <w:qFormat/>
    <w:uiPriority w:val="0"/>
    <w:rPr>
      <w:rFonts w:hint="eastAsia" w:ascii="宋体" w:hAnsi="宋体" w:eastAsia="宋体" w:cs="宋体"/>
      <w:color w:val="000000"/>
      <w:sz w:val="20"/>
      <w:szCs w:val="20"/>
      <w:u w:val="none"/>
    </w:rPr>
  </w:style>
  <w:style w:type="character" w:customStyle="1" w:styleId="22">
    <w:name w:val="font81"/>
    <w:qFormat/>
    <w:uiPriority w:val="0"/>
    <w:rPr>
      <w:rFonts w:hint="eastAsia" w:ascii="宋体" w:hAnsi="宋体" w:eastAsia="宋体" w:cs="宋体"/>
      <w:b/>
      <w:color w:val="FF0000"/>
      <w:sz w:val="20"/>
      <w:szCs w:val="20"/>
      <w:u w:val="single"/>
    </w:rPr>
  </w:style>
  <w:style w:type="character" w:customStyle="1" w:styleId="23">
    <w:name w:val="font71"/>
    <w:basedOn w:val="9"/>
    <w:qFormat/>
    <w:uiPriority w:val="0"/>
    <w:rPr>
      <w:rFonts w:hint="eastAsia" w:ascii="宋体" w:hAnsi="宋体" w:eastAsia="宋体" w:cs="宋体"/>
      <w:b/>
      <w:color w:val="000000"/>
      <w:sz w:val="20"/>
      <w:szCs w:val="20"/>
      <w:u w:val="single"/>
    </w:rPr>
  </w:style>
  <w:style w:type="character" w:customStyle="1" w:styleId="24">
    <w:name w:val="font61"/>
    <w:basedOn w:val="9"/>
    <w:qFormat/>
    <w:uiPriority w:val="0"/>
    <w:rPr>
      <w:rFonts w:hint="eastAsia" w:ascii="宋体" w:hAnsi="宋体" w:eastAsia="宋体" w:cs="宋体"/>
      <w:b/>
      <w:color w:val="FF0000"/>
      <w:sz w:val="20"/>
      <w:szCs w:val="20"/>
      <w:u w:val="none"/>
    </w:rPr>
  </w:style>
  <w:style w:type="character" w:customStyle="1" w:styleId="25">
    <w:name w:val="font101"/>
    <w:qFormat/>
    <w:uiPriority w:val="0"/>
    <w:rPr>
      <w:rFonts w:hint="eastAsia" w:ascii="宋体" w:hAnsi="宋体" w:eastAsia="宋体" w:cs="宋体"/>
      <w:b/>
      <w:color w:val="000000"/>
      <w:sz w:val="20"/>
      <w:szCs w:val="20"/>
      <w:u w:val="none"/>
    </w:rPr>
  </w:style>
  <w:style w:type="character" w:customStyle="1" w:styleId="26">
    <w:name w:val="页脚 Char"/>
    <w:link w:val="5"/>
    <w:qFormat/>
    <w:uiPriority w:val="0"/>
    <w:rPr>
      <w:kern w:val="2"/>
      <w:sz w:val="18"/>
      <w:szCs w:val="18"/>
    </w:rPr>
  </w:style>
  <w:style w:type="character" w:customStyle="1" w:styleId="27">
    <w:name w:val="标题 3 Char"/>
    <w:link w:val="2"/>
    <w:qFormat/>
    <w:uiPriority w:val="9"/>
    <w:rPr>
      <w:rFonts w:ascii="宋体" w:hAnsi="宋体" w:cs="宋体"/>
      <w:b/>
      <w:bCs/>
      <w:sz w:val="27"/>
      <w:szCs w:val="27"/>
    </w:rPr>
  </w:style>
  <w:style w:type="character" w:customStyle="1" w:styleId="28">
    <w:name w:val="font41"/>
    <w:basedOn w:val="9"/>
    <w:qFormat/>
    <w:uiPriority w:val="0"/>
    <w:rPr>
      <w:rFonts w:hint="default" w:ascii="Times New Roman" w:hAnsi="Times New Roman" w:cs="Times New Roman"/>
      <w:color w:val="000000"/>
      <w:sz w:val="22"/>
      <w:szCs w:val="22"/>
      <w:u w:val="none"/>
    </w:rPr>
  </w:style>
  <w:style w:type="character" w:customStyle="1" w:styleId="29">
    <w:name w:val="font51"/>
    <w:basedOn w:val="9"/>
    <w:qFormat/>
    <w:uiPriority w:val="0"/>
    <w:rPr>
      <w:rFonts w:hint="eastAsia" w:ascii="宋体" w:hAnsi="宋体" w:eastAsia="宋体" w:cs="宋体"/>
      <w:color w:val="000000"/>
      <w:sz w:val="22"/>
      <w:szCs w:val="22"/>
      <w:u w:val="none"/>
    </w:rPr>
  </w:style>
  <w:style w:type="paragraph" w:customStyle="1" w:styleId="3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1">
    <w:name w:val="font0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2588</Words>
  <Characters>14753</Characters>
  <Lines>122</Lines>
  <Paragraphs>34</Paragraphs>
  <TotalTime>86</TotalTime>
  <ScaleCrop>false</ScaleCrop>
  <LinksUpToDate>false</LinksUpToDate>
  <CharactersWithSpaces>17307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2019-08-16T06:58:00Z</dcterms:created>
  <dc:creator>涂军</dc:creator>
  <cp:lastModifiedBy>何雪凌</cp:lastModifiedBy>
  <dcterms:modified xsi:type="dcterms:W3CDTF">2023-05-24T08:43:24Z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F9BE534B2D8541BC9422ADAE574F00F2</vt:lpwstr>
  </property>
</Properties>
</file>