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ascii="宋体" w:hAnsi="宋体"/>
          <w:b/>
          <w:bCs/>
          <w:sz w:val="36"/>
          <w:szCs w:val="36"/>
        </w:rPr>
      </w:pPr>
      <w:r>
        <w:rPr>
          <w:rFonts w:hint="eastAsia" w:ascii="宋体" w:hAnsi="宋体"/>
          <w:b/>
          <w:bCs/>
          <w:sz w:val="36"/>
          <w:szCs w:val="36"/>
        </w:rPr>
        <w:t>幕墙铝板材料采购</w:t>
      </w:r>
    </w:p>
    <w:p>
      <w:pPr>
        <w:spacing w:line="700" w:lineRule="exact"/>
        <w:jc w:val="center"/>
        <w:rPr>
          <w:rFonts w:ascii="宋体" w:hAnsi="宋体"/>
          <w:b/>
          <w:bCs/>
          <w:sz w:val="36"/>
          <w:szCs w:val="36"/>
        </w:rPr>
      </w:pPr>
      <w:r>
        <w:rPr>
          <w:rFonts w:hint="eastAsia" w:ascii="宋体" w:hAnsi="宋体"/>
          <w:b/>
          <w:bCs/>
          <w:sz w:val="36"/>
          <w:szCs w:val="36"/>
        </w:rPr>
        <w:t>供应招标</w:t>
      </w:r>
    </w:p>
    <w:p>
      <w:pPr>
        <w:spacing w:line="700" w:lineRule="exact"/>
        <w:rPr>
          <w:rFonts w:ascii="宋体" w:hAnsi="宋体"/>
          <w:b/>
          <w:bCs/>
          <w:sz w:val="36"/>
          <w:szCs w:val="36"/>
        </w:rPr>
      </w:pPr>
    </w:p>
    <w:p>
      <w:pPr>
        <w:spacing w:line="700" w:lineRule="exact"/>
        <w:jc w:val="center"/>
        <w:rPr>
          <w:rFonts w:ascii="宋体" w:hAnsi="宋体"/>
          <w:b/>
          <w:bCs/>
          <w:sz w:val="48"/>
          <w:szCs w:val="48"/>
        </w:rPr>
      </w:pPr>
    </w:p>
    <w:p>
      <w:pPr>
        <w:spacing w:line="700" w:lineRule="exact"/>
        <w:jc w:val="center"/>
        <w:rPr>
          <w:rFonts w:ascii="宋体" w:hAnsi="宋体"/>
          <w:b/>
          <w:bCs/>
          <w:sz w:val="48"/>
          <w:szCs w:val="48"/>
        </w:rPr>
      </w:pPr>
    </w:p>
    <w:p>
      <w:pPr>
        <w:spacing w:line="700" w:lineRule="exact"/>
        <w:jc w:val="center"/>
        <w:rPr>
          <w:rFonts w:ascii="宋体" w:hAnsi="宋体"/>
          <w:b/>
          <w:bCs/>
          <w:sz w:val="48"/>
          <w:szCs w:val="48"/>
        </w:rPr>
      </w:pPr>
      <w:r>
        <w:rPr>
          <w:rFonts w:hint="eastAsia" w:ascii="宋体" w:hAnsi="宋体"/>
          <w:b/>
          <w:bCs/>
          <w:sz w:val="48"/>
          <w:szCs w:val="48"/>
        </w:rPr>
        <w:t>邀</w:t>
      </w:r>
    </w:p>
    <w:p>
      <w:pPr>
        <w:spacing w:line="700" w:lineRule="exact"/>
        <w:jc w:val="center"/>
        <w:rPr>
          <w:rFonts w:ascii="宋体" w:hAnsi="宋体"/>
          <w:b/>
          <w:bCs/>
          <w:sz w:val="48"/>
          <w:szCs w:val="48"/>
        </w:rPr>
      </w:pPr>
    </w:p>
    <w:p>
      <w:pPr>
        <w:spacing w:line="700" w:lineRule="exact"/>
        <w:jc w:val="center"/>
        <w:rPr>
          <w:rFonts w:ascii="宋体" w:hAnsi="宋体"/>
          <w:b/>
          <w:bCs/>
          <w:sz w:val="48"/>
          <w:szCs w:val="48"/>
        </w:rPr>
      </w:pPr>
      <w:r>
        <w:rPr>
          <w:rFonts w:hint="eastAsia" w:ascii="宋体" w:hAnsi="宋体"/>
          <w:b/>
          <w:bCs/>
          <w:sz w:val="48"/>
          <w:szCs w:val="48"/>
        </w:rPr>
        <w:t>请</w:t>
      </w:r>
    </w:p>
    <w:p>
      <w:pPr>
        <w:spacing w:line="700" w:lineRule="exact"/>
        <w:jc w:val="center"/>
        <w:rPr>
          <w:rFonts w:ascii="宋体" w:hAnsi="宋体"/>
          <w:b/>
          <w:bCs/>
          <w:sz w:val="48"/>
          <w:szCs w:val="48"/>
        </w:rPr>
      </w:pPr>
    </w:p>
    <w:p>
      <w:pPr>
        <w:spacing w:line="700" w:lineRule="exact"/>
        <w:jc w:val="center"/>
        <w:rPr>
          <w:rFonts w:ascii="宋体" w:hAnsi="宋体"/>
          <w:b/>
          <w:bCs/>
          <w:sz w:val="36"/>
          <w:szCs w:val="36"/>
        </w:rPr>
      </w:pPr>
      <w:r>
        <w:rPr>
          <w:rFonts w:hint="eastAsia" w:ascii="宋体" w:hAnsi="宋体"/>
          <w:b/>
          <w:bCs/>
          <w:sz w:val="48"/>
          <w:szCs w:val="48"/>
        </w:rPr>
        <w:t>函</w:t>
      </w:r>
    </w:p>
    <w:p>
      <w:pPr>
        <w:spacing w:line="700" w:lineRule="exact"/>
        <w:rPr>
          <w:rFonts w:ascii="宋体" w:hAnsi="宋体"/>
          <w:b/>
          <w:bCs/>
          <w:sz w:val="36"/>
          <w:szCs w:val="36"/>
        </w:rPr>
      </w:pPr>
    </w:p>
    <w:p>
      <w:pPr>
        <w:spacing w:line="700" w:lineRule="exact"/>
        <w:ind w:firstLine="542" w:firstLineChars="150"/>
        <w:rPr>
          <w:rFonts w:ascii="宋体" w:hAnsi="宋体"/>
          <w:b/>
          <w:bCs/>
          <w:sz w:val="36"/>
          <w:szCs w:val="36"/>
        </w:rPr>
      </w:pPr>
    </w:p>
    <w:p>
      <w:pPr>
        <w:spacing w:line="700" w:lineRule="exact"/>
        <w:rPr>
          <w:rFonts w:ascii="宋体" w:hAnsi="宋体"/>
          <w:b/>
          <w:bCs/>
          <w:sz w:val="36"/>
          <w:szCs w:val="36"/>
        </w:rPr>
      </w:pPr>
    </w:p>
    <w:p>
      <w:pPr>
        <w:spacing w:line="600" w:lineRule="exact"/>
        <w:jc w:val="center"/>
        <w:rPr>
          <w:rFonts w:ascii="宋体" w:hAnsi="宋体"/>
          <w:b/>
          <w:bCs/>
          <w:sz w:val="36"/>
          <w:szCs w:val="36"/>
        </w:rPr>
      </w:pPr>
      <w:r>
        <w:rPr>
          <w:rFonts w:hint="eastAsia" w:ascii="宋体" w:hAnsi="宋体"/>
          <w:b/>
          <w:bCs/>
          <w:sz w:val="36"/>
          <w:szCs w:val="36"/>
        </w:rPr>
        <w:t>方大新材料（江西）有限公司</w:t>
      </w:r>
    </w:p>
    <w:p>
      <w:pPr>
        <w:spacing w:line="600" w:lineRule="exact"/>
        <w:jc w:val="center"/>
        <w:rPr>
          <w:rFonts w:ascii="宋体" w:hAnsi="宋体"/>
          <w:b/>
          <w:bCs/>
          <w:sz w:val="32"/>
          <w:szCs w:val="32"/>
        </w:rPr>
      </w:pPr>
      <w:r>
        <w:rPr>
          <w:rFonts w:hint="eastAsia" w:ascii="宋体" w:hAnsi="宋体"/>
          <w:b/>
          <w:bCs/>
          <w:sz w:val="36"/>
          <w:szCs w:val="36"/>
        </w:rPr>
        <w:t>202</w:t>
      </w:r>
      <w:r>
        <w:rPr>
          <w:rFonts w:hint="eastAsia" w:ascii="宋体" w:hAnsi="宋体"/>
          <w:b/>
          <w:bCs/>
          <w:sz w:val="36"/>
          <w:szCs w:val="36"/>
          <w:lang w:val="en-US" w:eastAsia="zh-CN"/>
        </w:rPr>
        <w:t>3</w:t>
      </w:r>
      <w:r>
        <w:rPr>
          <w:rFonts w:hint="eastAsia" w:ascii="宋体" w:hAnsi="宋体"/>
          <w:b/>
          <w:bCs/>
          <w:sz w:val="36"/>
          <w:szCs w:val="36"/>
        </w:rPr>
        <w:t>年</w:t>
      </w:r>
      <w:r>
        <w:rPr>
          <w:rFonts w:hint="eastAsia" w:ascii="宋体" w:hAnsi="宋体"/>
          <w:b/>
          <w:bCs/>
          <w:sz w:val="36"/>
          <w:szCs w:val="36"/>
          <w:lang w:val="en-US" w:eastAsia="zh-CN"/>
        </w:rPr>
        <w:t>5</w:t>
      </w:r>
      <w:r>
        <w:rPr>
          <w:rFonts w:hint="eastAsia" w:ascii="宋体" w:hAnsi="宋体"/>
          <w:b/>
          <w:bCs/>
          <w:sz w:val="36"/>
          <w:szCs w:val="36"/>
        </w:rPr>
        <w:t>月</w:t>
      </w:r>
    </w:p>
    <w:p>
      <w:pPr>
        <w:tabs>
          <w:tab w:val="left" w:pos="2175"/>
          <w:tab w:val="center" w:pos="4153"/>
        </w:tabs>
        <w:spacing w:line="360" w:lineRule="auto"/>
        <w:jc w:val="left"/>
        <w:rPr>
          <w:rFonts w:ascii="宋体" w:hAnsi="宋体"/>
          <w:b/>
          <w:bCs/>
          <w:sz w:val="32"/>
          <w:szCs w:val="32"/>
        </w:rPr>
      </w:pPr>
      <w:r>
        <w:rPr>
          <w:rFonts w:ascii="宋体" w:hAnsi="宋体"/>
          <w:b/>
          <w:bCs/>
          <w:sz w:val="32"/>
          <w:szCs w:val="32"/>
        </w:rPr>
        <w:tab/>
      </w:r>
    </w:p>
    <w:p>
      <w:pPr>
        <w:tabs>
          <w:tab w:val="left" w:pos="2175"/>
          <w:tab w:val="center" w:pos="4153"/>
        </w:tabs>
        <w:spacing w:line="360" w:lineRule="auto"/>
        <w:jc w:val="left"/>
        <w:rPr>
          <w:rFonts w:ascii="宋体" w:hAnsi="宋体"/>
          <w:b/>
          <w:bCs/>
          <w:sz w:val="32"/>
          <w:szCs w:val="32"/>
        </w:rPr>
      </w:pPr>
    </w:p>
    <w:p>
      <w:pPr>
        <w:tabs>
          <w:tab w:val="left" w:pos="2175"/>
          <w:tab w:val="center" w:pos="4153"/>
        </w:tabs>
        <w:spacing w:line="360" w:lineRule="auto"/>
        <w:jc w:val="left"/>
        <w:rPr>
          <w:rFonts w:ascii="宋体" w:hAnsi="宋体"/>
          <w:b/>
          <w:bCs/>
          <w:sz w:val="32"/>
          <w:szCs w:val="32"/>
        </w:rPr>
      </w:pPr>
    </w:p>
    <w:p>
      <w:pPr>
        <w:tabs>
          <w:tab w:val="left" w:pos="2175"/>
          <w:tab w:val="center" w:pos="4153"/>
        </w:tabs>
        <w:spacing w:line="360" w:lineRule="auto"/>
        <w:jc w:val="left"/>
        <w:rPr>
          <w:rFonts w:ascii="宋体" w:hAnsi="宋体"/>
          <w:b/>
          <w:bCs/>
          <w:sz w:val="32"/>
          <w:szCs w:val="32"/>
        </w:rPr>
      </w:pPr>
    </w:p>
    <w:p>
      <w:pPr>
        <w:tabs>
          <w:tab w:val="left" w:pos="2175"/>
          <w:tab w:val="center" w:pos="4153"/>
        </w:tabs>
        <w:spacing w:line="360" w:lineRule="auto"/>
        <w:jc w:val="left"/>
        <w:rPr>
          <w:rFonts w:ascii="宋体" w:hAnsi="宋体"/>
          <w:b/>
          <w:bCs/>
          <w:sz w:val="32"/>
          <w:szCs w:val="32"/>
        </w:rPr>
      </w:pPr>
    </w:p>
    <w:p>
      <w:pPr>
        <w:tabs>
          <w:tab w:val="left" w:pos="2175"/>
          <w:tab w:val="center" w:pos="4153"/>
        </w:tabs>
        <w:spacing w:line="360" w:lineRule="auto"/>
        <w:jc w:val="left"/>
        <w:rPr>
          <w:rFonts w:ascii="宋体" w:hAnsi="宋体"/>
          <w:b/>
          <w:bCs/>
          <w:sz w:val="32"/>
          <w:szCs w:val="32"/>
        </w:rPr>
      </w:pPr>
    </w:p>
    <w:p>
      <w:pPr>
        <w:tabs>
          <w:tab w:val="left" w:pos="2175"/>
          <w:tab w:val="center" w:pos="4153"/>
        </w:tabs>
        <w:spacing w:line="360" w:lineRule="auto"/>
        <w:jc w:val="left"/>
        <w:rPr>
          <w:rFonts w:ascii="宋体" w:hAnsi="宋体"/>
          <w:b/>
          <w:bCs/>
          <w:sz w:val="28"/>
          <w:szCs w:val="28"/>
        </w:rPr>
      </w:pPr>
      <w:r>
        <w:rPr>
          <w:rFonts w:ascii="宋体" w:hAnsi="宋体"/>
          <w:b/>
          <w:bCs/>
          <w:sz w:val="32"/>
          <w:szCs w:val="32"/>
        </w:rPr>
        <w:tab/>
      </w:r>
      <w:r>
        <w:rPr>
          <w:rFonts w:hint="eastAsia" w:ascii="宋体" w:hAnsi="宋体"/>
          <w:b/>
          <w:bCs/>
          <w:sz w:val="28"/>
          <w:szCs w:val="28"/>
        </w:rPr>
        <w:t>幕墙铝板供应招标邀请函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一、招标内容：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本次招标邀请主要为202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-202</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年度方大新材料（江西）有限公司及佛山分公司需要质优价廉的幕墙铝板材料，招标方全年采购量预计</w:t>
      </w:r>
      <w:r>
        <w:rPr>
          <w:rFonts w:hint="eastAsia" w:asciiTheme="minorEastAsia" w:hAnsiTheme="minorEastAsia" w:eastAsiaTheme="minorEastAsia" w:cstheme="minorEastAsia"/>
          <w:b/>
          <w:bCs/>
          <w:sz w:val="28"/>
          <w:szCs w:val="28"/>
          <w:u w:val="single"/>
          <w:lang w:val="en-US" w:eastAsia="zh-CN"/>
        </w:rPr>
        <w:t>100</w:t>
      </w:r>
      <w:r>
        <w:rPr>
          <w:rFonts w:hint="eastAsia" w:asciiTheme="minorEastAsia" w:hAnsiTheme="minorEastAsia" w:eastAsiaTheme="minorEastAsia" w:cstheme="minorEastAsia"/>
          <w:b/>
          <w:bCs/>
          <w:sz w:val="28"/>
          <w:szCs w:val="28"/>
          <w:u w:val="single"/>
        </w:rPr>
        <w:t>00</w:t>
      </w:r>
      <w:r>
        <w:rPr>
          <w:rFonts w:hint="eastAsia" w:asciiTheme="minorEastAsia" w:hAnsiTheme="minorEastAsia" w:eastAsiaTheme="minorEastAsia" w:cstheme="minorEastAsia"/>
          <w:sz w:val="28"/>
          <w:szCs w:val="28"/>
        </w:rPr>
        <w:t>吨，铝板材料规格及用量厚度2.0~3.0mm、宽度不超过1600mm占总量的80%、4.0~6.0mm厚为10%；材质1100系与3003系比例约</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rPr>
        <w:t>，也有少数特殊铝板。本次招标拟与中标单位签订202</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-202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年度的供货合作协议，协议签订后，具体订单按招标方书面订购单的规格尺寸、厚度、材质等要求进行供货。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二、投标费用及投标资料：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招标人不给予投标人资料制作费、样品费用等任何补偿，无论中标与否投标人的所有资料均不退还。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三、投 标 保 证 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1、作为投标文件的一部分，投标者应提供人民币</w:t>
      </w:r>
      <w:r>
        <w:rPr>
          <w:rFonts w:hint="eastAsia" w:asciiTheme="minorEastAsia" w:hAnsiTheme="minorEastAsia" w:eastAsiaTheme="minorEastAsia" w:cstheme="minorEastAsia"/>
          <w:sz w:val="28"/>
          <w:szCs w:val="28"/>
          <w:u w:val="single"/>
        </w:rPr>
        <w:t>150000.00（人民币：壹拾伍万元整）</w:t>
      </w:r>
      <w:r>
        <w:rPr>
          <w:rFonts w:hint="eastAsia" w:asciiTheme="minorEastAsia" w:hAnsiTheme="minorEastAsia" w:eastAsiaTheme="minorEastAsia" w:cstheme="minorEastAsia"/>
          <w:sz w:val="28"/>
          <w:szCs w:val="28"/>
        </w:rPr>
        <w:t>作为投标保证金，投标单位应在投标截止日期之前将投标保证金通过银行转帐方式支付给招标单位，逾期支付投标保证金的将被视为无效投标。招标单位开户行及帐号如下：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公司名称：方大新材料（江西）有限公司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开户行：交通银行南昌市北京东路支行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帐号：361606000018000293796</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2、未中标者的保证金，将在定标后10个工作日内退还。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3、中标者的保证金，其投标保证金将转为合同履约金，生产厂家履约保证金不低于15万元，现货厂家履约保证金不低于15万元，直至协议期限到期后10个工作日内退还给中标者。</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 xml:space="preserve">     4、若发生下列情况之一，保证金将被没收，不予退还：</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 xml:space="preserve">    （1）在投标书有效期内，投标者撤消投标书；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（2）投标者将投标报价泄露给第三方，或投标者相互串通，哄抬报价。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（3）中标者如不按招标文件和投标文件内容要求签定合同。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招标单位承诺：</w:t>
      </w:r>
    </w:p>
    <w:p>
      <w:pPr>
        <w:keepNext w:val="0"/>
        <w:keepLines w:val="0"/>
        <w:pageBreakBefore w:val="0"/>
        <w:widowControl w:val="0"/>
        <w:kinsoku/>
        <w:wordWrap/>
        <w:overflowPunct/>
        <w:topLinePunct w:val="0"/>
        <w:autoSpaceDE/>
        <w:autoSpaceDN/>
        <w:bidi w:val="0"/>
        <w:adjustRightInd/>
        <w:snapToGrid/>
        <w:spacing w:line="360" w:lineRule="auto"/>
        <w:ind w:left="119"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整个招标过程中，招标单位坚持公平、公正、公开的原则，但招标单位无任何义务向投标人公布开标、评标和定标的有关细节以及投标人落标的原因。招标单位投诉电话：0755-26788571-5515（审计监察部）。本次评标采用综合评标法，价格以不含税价为比价，要求必须提供13%增值税发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五、招标时间安排：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截标时间：投标文件须于202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日 17点前送至方大新材料（江西）有限公司，地点：南昌市高新区大道1189号方大科技园，联系人：</w:t>
      </w:r>
      <w:r>
        <w:rPr>
          <w:rFonts w:hint="eastAsia" w:asciiTheme="minorEastAsia" w:hAnsiTheme="minorEastAsia" w:eastAsiaTheme="minorEastAsia" w:cstheme="minorEastAsia"/>
          <w:sz w:val="28"/>
          <w:szCs w:val="28"/>
          <w:lang w:val="en-US" w:eastAsia="zh-CN"/>
        </w:rPr>
        <w:t>余其波</w:t>
      </w:r>
      <w:r>
        <w:rPr>
          <w:rFonts w:hint="eastAsia" w:asciiTheme="minorEastAsia" w:hAnsiTheme="minorEastAsia" w:eastAsiaTheme="minorEastAsia" w:cstheme="minorEastAsia"/>
          <w:sz w:val="28"/>
          <w:szCs w:val="28"/>
        </w:rPr>
        <w:t>，联系电话13</w:t>
      </w:r>
      <w:r>
        <w:rPr>
          <w:rFonts w:hint="eastAsia" w:asciiTheme="minorEastAsia" w:hAnsiTheme="minorEastAsia" w:eastAsiaTheme="minorEastAsia" w:cstheme="minorEastAsia"/>
          <w:sz w:val="28"/>
          <w:szCs w:val="28"/>
          <w:lang w:val="en-US" w:eastAsia="zh-CN"/>
        </w:rPr>
        <w:t>367914408</w:t>
      </w:r>
      <w:r>
        <w:rPr>
          <w:rFonts w:hint="eastAsia" w:asciiTheme="minorEastAsia" w:hAnsiTheme="minorEastAsia" w:eastAsiaTheme="minorEastAsia" w:cstheme="minorEastAsia"/>
          <w:sz w:val="28"/>
          <w:szCs w:val="28"/>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六、投标方投标书的编制：</w:t>
      </w:r>
      <w:r>
        <w:rPr>
          <w:rFonts w:hint="eastAsia" w:asciiTheme="minorEastAsia" w:hAnsiTheme="minorEastAsia" w:eastAsiaTheme="minorEastAsia" w:cstheme="minorEastAsia"/>
          <w:b/>
          <w:bCs/>
          <w:sz w:val="28"/>
          <w:szCs w:val="28"/>
        </w:rPr>
        <w:tab/>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（1）投标方需填写附件一《材料供应综合表》和价格以外的优惠条件及服务承诺。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（2）营业执照复印件及其他有关资格和资信证明文件（复印件加盖单位公章）。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（3）法人代表授权书。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（4）按招标方的格式填写附件二《投标报价表》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（5）附件三、附件四为廉洁承诺，投标方必须确认作为投标资料。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（6）附件五为投标方调查表，为招标了解投标方基本情况，请投标方填写并作为投标资料。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（7）附件六为拟与中标单位签订合同的合同模板。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（8）附件七为招标文件合同范本确认函。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（9）附件八为《铝板原材料木架来料规范》。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七、声明：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1、投标报价：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（1）投标人根据招标要求、市场状况及企业自身的情况自主报价，报价包括材料费、包装费、管理费、利润、税金及加工费等投标人认为其它应发生的一切费用。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（2）单价=铝锭基价</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sz w:val="28"/>
          <w:szCs w:val="28"/>
        </w:rPr>
        <w:t>其它费用，铝锭基价是指招标方向投标方询价（下单）前三个工作日（不含询价/下单当日）上海期货交易所当天长江现货铝锭均价的平均价格，其它费用是指运输费、包装费、利润、税金、生产加工费等其它应发生的一切费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（3）报价表分货到</w:t>
      </w:r>
      <w:r>
        <w:rPr>
          <w:rFonts w:hint="eastAsia" w:asciiTheme="minorEastAsia" w:hAnsiTheme="minorEastAsia" w:eastAsiaTheme="minorEastAsia" w:cstheme="minorEastAsia"/>
          <w:sz w:val="28"/>
          <w:szCs w:val="28"/>
          <w:lang w:val="en-US" w:eastAsia="zh-CN"/>
        </w:rPr>
        <w:t>15/30</w:t>
      </w:r>
      <w:r>
        <w:rPr>
          <w:rFonts w:hint="eastAsia" w:asciiTheme="minorEastAsia" w:hAnsiTheme="minorEastAsia" w:eastAsiaTheme="minorEastAsia" w:cstheme="minorEastAsia"/>
          <w:sz w:val="28"/>
          <w:szCs w:val="28"/>
        </w:rPr>
        <w:t>天6个月银承价</w:t>
      </w:r>
      <w:r>
        <w:rPr>
          <w:rFonts w:hint="eastAsia" w:asciiTheme="minorEastAsia" w:hAnsiTheme="minorEastAsia" w:eastAsiaTheme="minorEastAsia" w:cstheme="minorEastAsia"/>
          <w:sz w:val="28"/>
          <w:szCs w:val="28"/>
          <w:lang w:val="en-US" w:eastAsia="zh-CN"/>
        </w:rPr>
        <w:t>和电汇价</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预付300万6个月银承</w:t>
      </w:r>
      <w:r>
        <w:rPr>
          <w:rFonts w:hint="eastAsia" w:asciiTheme="minorEastAsia" w:hAnsiTheme="minorEastAsia" w:eastAsiaTheme="minorEastAsia" w:cstheme="minorEastAsia"/>
          <w:sz w:val="28"/>
          <w:szCs w:val="28"/>
        </w:rPr>
        <w:t>及其他付款方式报价</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运费需单独列明价格）</w:t>
      </w:r>
      <w:r>
        <w:rPr>
          <w:rFonts w:hint="eastAsia" w:asciiTheme="minorEastAsia" w:hAnsiTheme="minorEastAsia" w:eastAsiaTheme="minorEastAsia" w:cstheme="minorEastAsia"/>
          <w:sz w:val="28"/>
          <w:szCs w:val="28"/>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2、质量要求</w:t>
      </w:r>
    </w:p>
    <w:p>
      <w:pPr>
        <w:keepNext w:val="0"/>
        <w:keepLines w:val="0"/>
        <w:pageBreakBefore w:val="0"/>
        <w:widowControl w:val="0"/>
        <w:kinsoku/>
        <w:wordWrap/>
        <w:overflowPunct/>
        <w:topLinePunct w:val="0"/>
        <w:autoSpaceDE/>
        <w:autoSpaceDN/>
        <w:bidi w:val="0"/>
        <w:adjustRightInd/>
        <w:snapToGrid/>
        <w:spacing w:line="360" w:lineRule="auto"/>
        <w:ind w:right="-335" w:firstLine="420" w:firstLineChars="15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幕墙铝板原材料质量要求及技术标准：符合YS/T429.1-2000铝幕墙板板基标准，其中包装、物理、化学性能等标准按GB/T3880 -2012规定标准执行。厚度标准由投标方注明。板面平整、无波纹、无辊印、无腐蚀现象，铝板做≥90</w:t>
      </w:r>
      <w:r>
        <w:rPr>
          <w:rFonts w:hint="eastAsia" w:asciiTheme="minorEastAsia" w:hAnsiTheme="minorEastAsia" w:eastAsiaTheme="minorEastAsia" w:cstheme="minorEastAsia"/>
          <w:sz w:val="28"/>
          <w:szCs w:val="28"/>
          <w:vertAlign w:val="superscript"/>
        </w:rPr>
        <w:t>0</w:t>
      </w:r>
      <w:r>
        <w:rPr>
          <w:rFonts w:hint="eastAsia" w:asciiTheme="minorEastAsia" w:hAnsiTheme="minorEastAsia" w:eastAsiaTheme="minorEastAsia" w:cstheme="minorEastAsia"/>
          <w:sz w:val="28"/>
          <w:szCs w:val="28"/>
        </w:rPr>
        <w:t>折弯不出现裂纹。投标方提供产品合格证、质量证明书，铝板单面贴塑料保护膜。</w:t>
      </w:r>
    </w:p>
    <w:p>
      <w:pPr>
        <w:keepNext w:val="0"/>
        <w:keepLines w:val="0"/>
        <w:pageBreakBefore w:val="0"/>
        <w:widowControl w:val="0"/>
        <w:kinsoku/>
        <w:wordWrap/>
        <w:overflowPunct/>
        <w:topLinePunct w:val="0"/>
        <w:autoSpaceDE/>
        <w:autoSpaceDN/>
        <w:bidi w:val="0"/>
        <w:adjustRightInd/>
        <w:snapToGrid/>
        <w:spacing w:line="360" w:lineRule="auto"/>
        <w:ind w:right="-33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3、交货地点及费用负担：</w:t>
      </w:r>
    </w:p>
    <w:p>
      <w:pPr>
        <w:keepNext w:val="0"/>
        <w:keepLines w:val="0"/>
        <w:pageBreakBefore w:val="0"/>
        <w:widowControl w:val="0"/>
        <w:kinsoku/>
        <w:wordWrap/>
        <w:overflowPunct/>
        <w:topLinePunct w:val="0"/>
        <w:autoSpaceDE/>
        <w:autoSpaceDN/>
        <w:bidi w:val="0"/>
        <w:adjustRightInd/>
        <w:snapToGrid/>
        <w:spacing w:line="360" w:lineRule="auto"/>
        <w:ind w:right="-335" w:firstLine="280" w:firstLine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在方大新材料(江西)有限公司工厂</w:t>
      </w:r>
      <w:r>
        <w:rPr>
          <w:rFonts w:hint="eastAsia" w:asciiTheme="minorEastAsia" w:hAnsiTheme="minorEastAsia" w:eastAsiaTheme="minorEastAsia" w:cstheme="minorEastAsia"/>
          <w:sz w:val="28"/>
          <w:szCs w:val="28"/>
          <w:lang w:val="en-US" w:eastAsia="zh-CN"/>
        </w:rPr>
        <w:t>或方大指定地方</w:t>
      </w:r>
      <w:r>
        <w:rPr>
          <w:rFonts w:hint="eastAsia" w:asciiTheme="minorEastAsia" w:hAnsiTheme="minorEastAsia" w:eastAsiaTheme="minorEastAsia" w:cstheme="minorEastAsia"/>
          <w:sz w:val="28"/>
          <w:szCs w:val="28"/>
        </w:rPr>
        <w:t>交货，投标方负担运费。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4、其它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招标单位对投标人的任何报价均视为其对本标书内容已经全部理解，投标人由于对本标书不正确的理解造成的报价失误等责任由投标人自行承担，投标人报价中缺项、漏项、少量等均视为对招标单位的价格优惠；优惠承诺可附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（2）投标文件的份数和签署：投标书一份，需密封在一个A4资料袋中，并加盖齐缝章和单位名称。投标密封袋上应写明幕墙铝板材料采购供应投标书和投标单位名称。</w:t>
      </w:r>
    </w:p>
    <w:p>
      <w:pPr>
        <w:keepNext w:val="0"/>
        <w:keepLines w:val="0"/>
        <w:pageBreakBefore w:val="0"/>
        <w:widowControl w:val="0"/>
        <w:kinsoku/>
        <w:wordWrap/>
        <w:overflowPunct/>
        <w:topLinePunct w:val="0"/>
        <w:autoSpaceDE/>
        <w:autoSpaceDN/>
        <w:bidi w:val="0"/>
        <w:adjustRightInd/>
        <w:snapToGrid/>
        <w:spacing w:line="360" w:lineRule="auto"/>
        <w:ind w:left="560" w:hanging="560" w:hanging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（3）中标单位在签订合作协议时，若坚持提出附加条件和不合理要</w:t>
      </w:r>
    </w:p>
    <w:p>
      <w:pPr>
        <w:keepNext w:val="0"/>
        <w:keepLines w:val="0"/>
        <w:pageBreakBefore w:val="0"/>
        <w:widowControl w:val="0"/>
        <w:kinsoku/>
        <w:wordWrap/>
        <w:overflowPunct/>
        <w:topLinePunct w:val="0"/>
        <w:autoSpaceDE/>
        <w:autoSpaceDN/>
        <w:bidi w:val="0"/>
        <w:adjustRightInd/>
        <w:snapToGrid/>
        <w:spacing w:line="360" w:lineRule="auto"/>
        <w:ind w:left="560" w:hanging="560" w:hanging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求，招标单位有权取消其中标资格，由此产生的一切责任由该单位负</w:t>
      </w:r>
    </w:p>
    <w:p>
      <w:pPr>
        <w:keepNext w:val="0"/>
        <w:keepLines w:val="0"/>
        <w:pageBreakBefore w:val="0"/>
        <w:widowControl w:val="0"/>
        <w:kinsoku/>
        <w:wordWrap/>
        <w:overflowPunct/>
        <w:topLinePunct w:val="0"/>
        <w:autoSpaceDE/>
        <w:autoSpaceDN/>
        <w:bidi w:val="0"/>
        <w:adjustRightInd/>
        <w:snapToGrid/>
        <w:spacing w:line="360" w:lineRule="auto"/>
        <w:ind w:left="560" w:hanging="560" w:hanging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责。</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方大新材料（江西）有限公司</w:t>
      </w:r>
    </w:p>
    <w:p>
      <w:pPr>
        <w:keepNext w:val="0"/>
        <w:keepLines w:val="0"/>
        <w:pageBreakBefore w:val="0"/>
        <w:widowControl w:val="0"/>
        <w:kinsoku/>
        <w:wordWrap/>
        <w:overflowPunct/>
        <w:topLinePunct w:val="0"/>
        <w:autoSpaceDE/>
        <w:autoSpaceDN/>
        <w:bidi w:val="0"/>
        <w:adjustRightInd/>
        <w:snapToGrid/>
        <w:spacing w:line="360" w:lineRule="auto"/>
        <w:ind w:left="6161" w:leftChars="2534" w:hanging="840" w:hangingChars="300"/>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采购部</w:t>
      </w:r>
    </w:p>
    <w:p>
      <w:pPr>
        <w:keepNext w:val="0"/>
        <w:keepLines w:val="0"/>
        <w:pageBreakBefore w:val="0"/>
        <w:widowControl w:val="0"/>
        <w:kinsoku/>
        <w:wordWrap/>
        <w:overflowPunct/>
        <w:topLinePunct w:val="0"/>
        <w:autoSpaceDE/>
        <w:autoSpaceDN/>
        <w:bidi w:val="0"/>
        <w:adjustRightInd/>
        <w:snapToGrid/>
        <w:spacing w:line="360" w:lineRule="auto"/>
        <w:ind w:left="6161" w:leftChars="2534" w:hanging="840" w:hangingChars="300"/>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月</w:t>
      </w:r>
    </w:p>
    <w:p>
      <w:pPr>
        <w:rPr>
          <w:rFonts w:ascii="宋体" w:hAnsi="宋体"/>
          <w:b/>
          <w:bCs/>
          <w:sz w:val="24"/>
          <w:szCs w:val="24"/>
        </w:rPr>
      </w:pPr>
    </w:p>
    <w:p>
      <w:pPr>
        <w:jc w:val="center"/>
        <w:rPr>
          <w:rFonts w:ascii="宋体" w:hAnsi="宋体"/>
          <w:b/>
          <w:bCs/>
          <w:sz w:val="24"/>
          <w:szCs w:val="24"/>
        </w:rPr>
      </w:pPr>
    </w:p>
    <w:p>
      <w:pPr>
        <w:jc w:val="both"/>
        <w:rPr>
          <w:rFonts w:ascii="宋体" w:hAnsi="宋体"/>
          <w:b/>
          <w:bCs/>
          <w:sz w:val="24"/>
          <w:szCs w:val="24"/>
        </w:rPr>
      </w:pPr>
    </w:p>
    <w:p>
      <w:pPr>
        <w:jc w:val="left"/>
        <w:rPr>
          <w:rFonts w:ascii="宋体" w:hAnsi="宋体"/>
          <w:b/>
          <w:bCs/>
          <w:sz w:val="28"/>
          <w:szCs w:val="28"/>
        </w:rPr>
      </w:pPr>
      <w:r>
        <w:rPr>
          <w:rFonts w:hint="eastAsia" w:ascii="宋体" w:hAnsi="宋体"/>
          <w:b/>
          <w:bCs/>
          <w:sz w:val="28"/>
          <w:szCs w:val="28"/>
        </w:rPr>
        <w:t>附件一</w:t>
      </w:r>
    </w:p>
    <w:p>
      <w:pPr>
        <w:jc w:val="center"/>
        <w:rPr>
          <w:rFonts w:ascii="宋体" w:hAnsi="宋体"/>
          <w:sz w:val="28"/>
          <w:szCs w:val="28"/>
        </w:rPr>
      </w:pPr>
      <w:r>
        <w:rPr>
          <w:rFonts w:hint="eastAsia" w:ascii="宋体" w:hAnsi="宋体"/>
          <w:sz w:val="28"/>
          <w:szCs w:val="28"/>
        </w:rPr>
        <w:t>材料供应综合表</w:t>
      </w:r>
    </w:p>
    <w:tbl>
      <w:tblPr>
        <w:tblStyle w:val="6"/>
        <w:tblpPr w:leftFromText="180" w:rightFromText="180" w:vertAnchor="text" w:horzAnchor="page" w:tblpX="1312" w:tblpY="384"/>
        <w:tblOverlap w:val="never"/>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121"/>
        <w:gridCol w:w="542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trPr>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项次</w:t>
            </w:r>
          </w:p>
        </w:tc>
        <w:tc>
          <w:tcPr>
            <w:tcW w:w="5422" w:type="dxa"/>
            <w:tcBorders>
              <w:top w:val="single" w:color="auto" w:sz="4" w:space="0"/>
              <w:left w:val="nil"/>
              <w:bottom w:val="single" w:color="auto" w:sz="4" w:space="0"/>
              <w:right w:val="single" w:color="auto" w:sz="4" w:space="0"/>
            </w:tcBorders>
            <w:vAlign w:val="center"/>
          </w:tcPr>
          <w:p>
            <w:pPr>
              <w:jc w:val="center"/>
              <w:rPr>
                <w:rFonts w:ascii="宋体" w:hAnsi="宋体"/>
                <w:sz w:val="28"/>
                <w:szCs w:val="28"/>
              </w:rPr>
            </w:pPr>
            <w:r>
              <w:rPr>
                <w:rFonts w:hint="eastAsia" w:ascii="宋体" w:hAnsi="宋体"/>
                <w:sz w:val="28"/>
                <w:szCs w:val="28"/>
              </w:rPr>
              <w:t>幕墙铝单板材料</w:t>
            </w:r>
          </w:p>
        </w:tc>
        <w:tc>
          <w:tcPr>
            <w:tcW w:w="1455"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trPr>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单项报价</w:t>
            </w:r>
          </w:p>
        </w:tc>
        <w:tc>
          <w:tcPr>
            <w:tcW w:w="5422"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rPr>
              <w:t>按本招标函件中的要求进行报价，填写报价表</w:t>
            </w:r>
          </w:p>
        </w:tc>
        <w:tc>
          <w:tcPr>
            <w:tcW w:w="1455"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报价含税</w:t>
            </w:r>
          </w:p>
        </w:tc>
        <w:tc>
          <w:tcPr>
            <w:tcW w:w="6877" w:type="dxa"/>
            <w:gridSpan w:val="2"/>
            <w:tcBorders>
              <w:top w:val="single" w:color="auto" w:sz="4" w:space="0"/>
              <w:left w:val="nil"/>
              <w:bottom w:val="single" w:color="auto" w:sz="4" w:space="0"/>
              <w:right w:val="single" w:color="auto" w:sz="4" w:space="0"/>
            </w:tcBorders>
            <w:vAlign w:val="center"/>
          </w:tcPr>
          <w:p>
            <w:pPr>
              <w:ind w:firstLine="960" w:firstLineChars="400"/>
              <w:rPr>
                <w:rFonts w:ascii="宋体" w:hAnsi="宋体"/>
                <w:sz w:val="24"/>
                <w:szCs w:val="24"/>
              </w:rPr>
            </w:pPr>
            <w:r>
              <w:rPr>
                <w:rFonts w:hint="eastAsia" w:ascii="宋体" w:hAnsi="宋体"/>
                <w:sz w:val="24"/>
                <w:szCs w:val="24"/>
              </w:rPr>
              <w:t xml:space="preserve">  </w:t>
            </w:r>
            <w:r>
              <w:rPr>
                <w:rFonts w:hint="eastAsia" w:ascii="宋体" w:hAnsi="宋体"/>
                <w:sz w:val="24"/>
                <w:szCs w:val="24"/>
                <w:u w:val="single"/>
              </w:rPr>
              <w:t>13%</w:t>
            </w:r>
            <w:r>
              <w:rPr>
                <w:rFonts w:hint="eastAsia" w:ascii="宋体" w:hAnsi="宋体"/>
                <w:sz w:val="24"/>
                <w:szCs w:val="24"/>
              </w:rPr>
              <w:t>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3" w:hRule="atLeast"/>
        </w:trPr>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付款方式（</w:t>
            </w:r>
            <w:r>
              <w:rPr>
                <w:rFonts w:hint="eastAsia" w:ascii="宋体" w:hAnsi="宋体"/>
                <w:sz w:val="18"/>
                <w:szCs w:val="18"/>
              </w:rPr>
              <w:t>不同的付款方式进行不同报价）</w:t>
            </w:r>
          </w:p>
        </w:tc>
        <w:tc>
          <w:tcPr>
            <w:tcW w:w="112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货款     支付</w:t>
            </w:r>
          </w:p>
        </w:tc>
        <w:tc>
          <w:tcPr>
            <w:tcW w:w="6877" w:type="dxa"/>
            <w:gridSpan w:val="2"/>
            <w:tcBorders>
              <w:top w:val="single" w:color="auto" w:sz="4" w:space="0"/>
              <w:left w:val="nil"/>
              <w:bottom w:val="single" w:color="auto" w:sz="4" w:space="0"/>
              <w:right w:val="single" w:color="auto" w:sz="4" w:space="0"/>
            </w:tcBorders>
            <w:vAlign w:val="center"/>
          </w:tcPr>
          <w:p>
            <w:r>
              <w:rPr>
                <w:rFonts w:hint="eastAsia"/>
              </w:rPr>
              <w:t>1、货到</w:t>
            </w:r>
            <w:r>
              <w:rPr>
                <w:rFonts w:hint="eastAsia"/>
                <w:lang w:val="en-US" w:eastAsia="zh-CN"/>
              </w:rPr>
              <w:t>15/30</w:t>
            </w:r>
            <w:r>
              <w:rPr>
                <w:rFonts w:hint="eastAsia"/>
              </w:rPr>
              <w:t>天6个月银承价</w:t>
            </w:r>
            <w:r>
              <w:rPr>
                <w:rFonts w:hint="eastAsia"/>
                <w:lang w:val="en-US" w:eastAsia="zh-CN"/>
              </w:rPr>
              <w:t>和电汇价</w:t>
            </w:r>
            <w:r>
              <w:rPr>
                <w:rFonts w:hint="eastAsia"/>
              </w:rPr>
              <w:t>。</w:t>
            </w:r>
          </w:p>
          <w:p>
            <w:r>
              <w:rPr>
                <w:rFonts w:hint="eastAsia"/>
              </w:rPr>
              <w:t>2、货到</w:t>
            </w:r>
            <w:r>
              <w:rPr>
                <w:rFonts w:hint="eastAsia"/>
                <w:lang w:val="en-US" w:eastAsia="zh-CN"/>
              </w:rPr>
              <w:t>30</w:t>
            </w:r>
            <w:r>
              <w:rPr>
                <w:rFonts w:hint="eastAsia"/>
              </w:rPr>
              <w:t>天6个月银行承兑价格。</w:t>
            </w:r>
          </w:p>
          <w:p>
            <w:pPr>
              <w:rPr>
                <w:rFonts w:hint="default" w:eastAsia="宋体"/>
                <w:lang w:val="en-US" w:eastAsia="zh-CN"/>
              </w:rPr>
            </w:pPr>
            <w:r>
              <w:rPr>
                <w:rFonts w:hint="eastAsia"/>
              </w:rPr>
              <w:t>3、</w:t>
            </w:r>
            <w:r>
              <w:rPr>
                <w:rFonts w:hint="eastAsia"/>
                <w:lang w:val="en-US" w:eastAsia="zh-CN"/>
              </w:rPr>
              <w:t>预付300万6个月银承。</w:t>
            </w:r>
          </w:p>
          <w:p>
            <w:r>
              <w:rPr>
                <w:rFonts w:hint="eastAsia"/>
                <w:lang w:val="en-US" w:eastAsia="zh-CN"/>
              </w:rPr>
              <w:t>4</w:t>
            </w:r>
            <w:r>
              <w:rPr>
                <w:rFonts w:hint="eastAsia"/>
              </w:rPr>
              <w:t>、其他方式： ______________________ （请注明）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383" w:type="dxa"/>
            <w:gridSpan w:val="2"/>
            <w:vMerge w:val="restart"/>
            <w:tcBorders>
              <w:top w:val="nil"/>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质量保证</w:t>
            </w:r>
          </w:p>
        </w:tc>
        <w:tc>
          <w:tcPr>
            <w:tcW w:w="6877" w:type="dxa"/>
            <w:gridSpan w:val="2"/>
            <w:tcBorders>
              <w:top w:val="single" w:color="auto" w:sz="4" w:space="0"/>
              <w:left w:val="nil"/>
              <w:bottom w:val="single" w:color="auto" w:sz="4" w:space="0"/>
              <w:right w:val="single" w:color="auto" w:sz="4" w:space="0"/>
            </w:tcBorders>
          </w:tcPr>
          <w:p>
            <w:pPr>
              <w:rPr>
                <w:rFonts w:ascii="宋体" w:hAnsi="宋体"/>
                <w:sz w:val="24"/>
                <w:szCs w:val="24"/>
              </w:rPr>
            </w:pPr>
            <w:r>
              <w:rPr>
                <w:rFonts w:hint="eastAsia" w:ascii="宋体" w:hAnsi="宋体"/>
                <w:sz w:val="24"/>
                <w:szCs w:val="24"/>
              </w:rPr>
              <w:t>①可提供质量保证书，质量保证年限</w:t>
            </w:r>
            <w:r>
              <w:rPr>
                <w:rFonts w:hint="eastAsia" w:ascii="宋体" w:hAnsi="宋体"/>
                <w:sz w:val="24"/>
                <w:szCs w:val="24"/>
                <w:u w:val="single"/>
              </w:rPr>
              <w:t xml:space="preserve">    </w:t>
            </w:r>
            <w:r>
              <w:rPr>
                <w:rFonts w:hint="eastAsia" w:ascii="宋体" w:hAnsi="宋体"/>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2383"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6877" w:type="dxa"/>
            <w:gridSpan w:val="2"/>
            <w:tcBorders>
              <w:top w:val="single" w:color="auto" w:sz="4" w:space="0"/>
              <w:left w:val="nil"/>
              <w:bottom w:val="single" w:color="auto" w:sz="4" w:space="0"/>
              <w:right w:val="single" w:color="auto" w:sz="4" w:space="0"/>
            </w:tcBorders>
          </w:tcPr>
          <w:p>
            <w:pPr>
              <w:rPr>
                <w:rFonts w:ascii="宋体" w:hAnsi="宋体"/>
                <w:sz w:val="24"/>
                <w:szCs w:val="24"/>
              </w:rPr>
            </w:pPr>
            <w:r>
              <w:rPr>
                <w:rFonts w:hint="eastAsia" w:ascii="宋体" w:hAnsi="宋体"/>
                <w:sz w:val="24"/>
                <w:szCs w:val="24"/>
              </w:rPr>
              <w:t xml:space="preserve">②其它：    </w:t>
            </w:r>
          </w:p>
          <w:p>
            <w:pPr>
              <w:rPr>
                <w:rFonts w:ascii="宋体" w:hAnsi="宋体"/>
                <w:sz w:val="24"/>
                <w:szCs w:val="24"/>
              </w:rPr>
            </w:pPr>
            <w:r>
              <w:rPr>
                <w:rFonts w:hint="eastAsia" w:ascii="宋体" w:hAnsi="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2383" w:type="dxa"/>
            <w:gridSpan w:val="2"/>
            <w:vMerge w:val="restart"/>
            <w:tcBorders>
              <w:top w:val="nil"/>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售后服务</w:t>
            </w:r>
          </w:p>
        </w:tc>
        <w:tc>
          <w:tcPr>
            <w:tcW w:w="6877" w:type="dxa"/>
            <w:gridSpan w:val="2"/>
            <w:tcBorders>
              <w:top w:val="single" w:color="auto" w:sz="4" w:space="0"/>
              <w:left w:val="nil"/>
              <w:bottom w:val="single" w:color="auto" w:sz="4" w:space="0"/>
              <w:right w:val="single" w:color="auto" w:sz="4" w:space="0"/>
            </w:tcBorders>
          </w:tcPr>
          <w:p>
            <w:pPr>
              <w:rPr>
                <w:rFonts w:ascii="宋体" w:hAnsi="宋体"/>
                <w:sz w:val="24"/>
                <w:szCs w:val="24"/>
              </w:rPr>
            </w:pPr>
            <w:r>
              <w:rPr>
                <w:rFonts w:hint="eastAsia" w:ascii="宋体" w:hAnsi="宋体"/>
                <w:sz w:val="24"/>
                <w:szCs w:val="24"/>
              </w:rPr>
              <w:t>①质量投诉的反应时间小时；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2383"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6877" w:type="dxa"/>
            <w:gridSpan w:val="2"/>
            <w:tcBorders>
              <w:top w:val="single" w:color="auto" w:sz="4" w:space="0"/>
              <w:left w:val="nil"/>
              <w:bottom w:val="single" w:color="auto" w:sz="4" w:space="0"/>
              <w:right w:val="single" w:color="auto" w:sz="4" w:space="0"/>
            </w:tcBorders>
          </w:tcPr>
          <w:p>
            <w:pPr>
              <w:rPr>
                <w:rFonts w:ascii="宋体" w:hAnsi="宋体"/>
                <w:sz w:val="24"/>
                <w:szCs w:val="24"/>
              </w:rPr>
            </w:pPr>
            <w:r>
              <w:rPr>
                <w:rFonts w:hint="eastAsia" w:ascii="宋体" w:hAnsi="宋体"/>
                <w:sz w:val="24"/>
                <w:szCs w:val="24"/>
              </w:rPr>
              <w:t>②其它：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供货时间</w:t>
            </w:r>
          </w:p>
        </w:tc>
        <w:tc>
          <w:tcPr>
            <w:tcW w:w="6877"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分批送货，甲方下订单后</w:t>
            </w:r>
            <w:r>
              <w:rPr>
                <w:rFonts w:hint="eastAsia" w:ascii="宋体" w:hAnsi="宋体"/>
                <w:sz w:val="24"/>
                <w:szCs w:val="24"/>
                <w:u w:val="single"/>
              </w:rPr>
              <w:t xml:space="preserve">    </w:t>
            </w:r>
            <w:r>
              <w:rPr>
                <w:rFonts w:hint="eastAsia" w:ascii="宋体" w:hAnsi="宋体"/>
                <w:sz w:val="24"/>
                <w:szCs w:val="24"/>
              </w:rPr>
              <w:t>日内订单数量全部到达甲方工厂。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3" w:hRule="atLeast"/>
        </w:trPr>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优惠承诺</w:t>
            </w:r>
          </w:p>
        </w:tc>
        <w:tc>
          <w:tcPr>
            <w:tcW w:w="6877" w:type="dxa"/>
            <w:gridSpan w:val="2"/>
            <w:tcBorders>
              <w:top w:val="single" w:color="auto" w:sz="4" w:space="0"/>
              <w:left w:val="nil"/>
              <w:bottom w:val="single" w:color="auto" w:sz="4" w:space="0"/>
              <w:right w:val="single" w:color="auto" w:sz="4" w:space="0"/>
            </w:tcBorders>
          </w:tcPr>
          <w:p>
            <w:pPr>
              <w:numPr>
                <w:ilvl w:val="0"/>
                <w:numId w:val="2"/>
              </w:numPr>
              <w:rPr>
                <w:rFonts w:ascii="宋体" w:hAnsi="宋体"/>
                <w:sz w:val="24"/>
                <w:szCs w:val="24"/>
                <w:u w:val="single"/>
              </w:rPr>
            </w:pPr>
            <w:r>
              <w:rPr>
                <w:rFonts w:hint="eastAsia" w:ascii="宋体" w:hAnsi="宋体"/>
                <w:sz w:val="24"/>
                <w:szCs w:val="24"/>
              </w:rPr>
              <w:t>付款方式支持：</w:t>
            </w:r>
          </w:p>
          <w:p>
            <w:pPr>
              <w:numPr>
                <w:ilvl w:val="0"/>
                <w:numId w:val="2"/>
              </w:numPr>
              <w:rPr>
                <w:rFonts w:ascii="宋体" w:hAnsi="宋体"/>
                <w:sz w:val="24"/>
                <w:szCs w:val="24"/>
              </w:rPr>
            </w:pPr>
            <w:r>
              <w:rPr>
                <w:rFonts w:hint="eastAsia" w:ascii="宋体" w:hAnsi="宋体"/>
                <w:sz w:val="24"/>
                <w:szCs w:val="24"/>
              </w:rPr>
              <w:t>交货方面支持：</w:t>
            </w:r>
          </w:p>
          <w:p>
            <w:pPr>
              <w:numPr>
                <w:ilvl w:val="0"/>
                <w:numId w:val="2"/>
              </w:numPr>
              <w:rPr>
                <w:rFonts w:ascii="宋体" w:hAnsi="宋体"/>
                <w:sz w:val="24"/>
                <w:szCs w:val="24"/>
              </w:rPr>
            </w:pPr>
            <w:r>
              <w:rPr>
                <w:rFonts w:hint="eastAsia" w:ascii="宋体" w:hAnsi="宋体"/>
                <w:sz w:val="24"/>
                <w:szCs w:val="24"/>
              </w:rPr>
              <w:t>当招标方采购金额达到________元后，投标方同意按年度采购总额的___%进行年度让利。</w:t>
            </w:r>
          </w:p>
          <w:p>
            <w:pPr>
              <w:numPr>
                <w:ilvl w:val="0"/>
                <w:numId w:val="2"/>
              </w:numPr>
              <w:rPr>
                <w:rFonts w:ascii="宋体" w:hAnsi="宋体"/>
                <w:sz w:val="24"/>
                <w:szCs w:val="24"/>
                <w:u w:val="single"/>
              </w:rPr>
            </w:pPr>
            <w:r>
              <w:rPr>
                <w:rFonts w:hint="eastAsia" w:ascii="宋体" w:hAnsi="宋体"/>
                <w:sz w:val="24"/>
                <w:szCs w:val="24"/>
              </w:rPr>
              <w:t>其他（</w:t>
            </w:r>
            <w:r>
              <w:rPr>
                <w:rFonts w:hint="eastAsia" w:ascii="宋体" w:hAnsi="宋体"/>
              </w:rPr>
              <w:t>不局限上述三点</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trPr>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其它需要说明事项或建议</w:t>
            </w:r>
          </w:p>
        </w:tc>
        <w:tc>
          <w:tcPr>
            <w:tcW w:w="6877" w:type="dxa"/>
            <w:gridSpan w:val="2"/>
            <w:tcBorders>
              <w:top w:val="single" w:color="auto" w:sz="4" w:space="0"/>
              <w:left w:val="nil"/>
              <w:bottom w:val="single" w:color="auto" w:sz="4" w:space="0"/>
              <w:right w:val="single" w:color="auto" w:sz="4" w:space="0"/>
            </w:tcBorders>
          </w:tcPr>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trPr>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备注</w:t>
            </w:r>
          </w:p>
        </w:tc>
        <w:tc>
          <w:tcPr>
            <w:tcW w:w="6877" w:type="dxa"/>
            <w:gridSpan w:val="2"/>
            <w:tcBorders>
              <w:top w:val="single" w:color="auto" w:sz="4" w:space="0"/>
              <w:left w:val="nil"/>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板面要求贴静电保护膜</w:t>
            </w:r>
          </w:p>
        </w:tc>
      </w:tr>
    </w:tbl>
    <w:p>
      <w:pPr>
        <w:spacing w:line="700" w:lineRule="exact"/>
        <w:rPr>
          <w:rFonts w:ascii="宋体" w:hAnsi="宋体"/>
          <w:sz w:val="24"/>
          <w:szCs w:val="24"/>
        </w:rPr>
      </w:pPr>
      <w:r>
        <w:rPr>
          <w:rFonts w:hint="eastAsia" w:ascii="宋体" w:hAnsi="宋体"/>
          <w:sz w:val="24"/>
          <w:szCs w:val="24"/>
        </w:rPr>
        <w:t>供应单位（盖章）：</w:t>
      </w:r>
    </w:p>
    <w:p>
      <w:pPr>
        <w:spacing w:line="700" w:lineRule="exact"/>
        <w:jc w:val="center"/>
        <w:rPr>
          <w:rFonts w:ascii="宋体" w:hAnsi="宋体"/>
        </w:rPr>
      </w:pPr>
      <w:r>
        <w:rPr>
          <w:rFonts w:hint="eastAsia" w:ascii="宋体" w:hAnsi="宋体"/>
        </w:rPr>
        <w:t>填表说明：    内打“√”表示选择该项，不选择打“X”；“   ”填写数据，不选择则不填。</w:t>
      </w:r>
    </w:p>
    <w:p>
      <w:pPr>
        <w:rPr>
          <w:rFonts w:ascii="宋体" w:hAnsi="宋体"/>
          <w:b/>
          <w:bCs/>
          <w:sz w:val="24"/>
          <w:szCs w:val="24"/>
        </w:rPr>
      </w:pP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附件二</w:t>
      </w:r>
    </w:p>
    <w:p>
      <w:pPr>
        <w:ind w:right="-57" w:rightChars="-27"/>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投标报价表</w:t>
      </w:r>
    </w:p>
    <w:p>
      <w:pPr>
        <w:spacing w:line="360" w:lineRule="auto"/>
        <w:ind w:firstLine="420" w:firstLineChars="15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投标报价单位：</w:t>
      </w:r>
      <w:r>
        <w:rPr>
          <w:rFonts w:hint="eastAsia" w:asciiTheme="minorEastAsia" w:hAnsiTheme="minorEastAsia" w:eastAsiaTheme="minorEastAsia" w:cstheme="minorEastAsia"/>
          <w:sz w:val="28"/>
          <w:szCs w:val="28"/>
          <w:u w:val="single"/>
        </w:rPr>
        <w:t>*************************</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我司针对本次投标，对于产品报价如下：</w:t>
      </w:r>
    </w:p>
    <w:tbl>
      <w:tblPr>
        <w:tblStyle w:val="6"/>
        <w:tblpPr w:leftFromText="180" w:rightFromText="180" w:vertAnchor="text" w:horzAnchor="page" w:tblpX="1185" w:tblpY="665"/>
        <w:tblOverlap w:val="never"/>
        <w:tblW w:w="104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1"/>
        <w:gridCol w:w="1056"/>
        <w:gridCol w:w="1004"/>
        <w:gridCol w:w="965"/>
        <w:gridCol w:w="1009"/>
        <w:gridCol w:w="915"/>
        <w:gridCol w:w="1155"/>
        <w:gridCol w:w="1185"/>
        <w:gridCol w:w="1020"/>
        <w:gridCol w:w="1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1091" w:type="dxa"/>
            <w:vMerge w:val="restar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厚度</w:t>
            </w:r>
            <w:r>
              <w:rPr>
                <w:rFonts w:hint="eastAsia"/>
              </w:rPr>
              <w:t>mm</w:t>
            </w:r>
          </w:p>
        </w:tc>
        <w:tc>
          <w:tcPr>
            <w:tcW w:w="1056" w:type="dxa"/>
            <w:vMerge w:val="restart"/>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宽度</w:t>
            </w:r>
            <w:r>
              <w:rPr>
                <w:rFonts w:hint="eastAsia"/>
              </w:rPr>
              <w:t>mm</w:t>
            </w:r>
          </w:p>
        </w:tc>
        <w:tc>
          <w:tcPr>
            <w:tcW w:w="1004" w:type="dxa"/>
            <w:vMerge w:val="restart"/>
            <w:tcBorders>
              <w:top w:val="single" w:color="000000" w:sz="4" w:space="0"/>
              <w:left w:val="nil"/>
              <w:right w:val="single" w:color="000000" w:sz="4" w:space="0"/>
            </w:tcBorders>
            <w:vAlign w:val="center"/>
          </w:tcPr>
          <w:p>
            <w:pPr>
              <w:jc w:val="center"/>
            </w:pPr>
            <w:r>
              <w:rPr>
                <w:rFonts w:hint="eastAsia" w:ascii="宋体" w:hAnsi="宋体"/>
              </w:rPr>
              <w:t>长度</w:t>
            </w:r>
            <w:r>
              <w:rPr>
                <w:rFonts w:hint="eastAsia"/>
              </w:rPr>
              <w:t>mm</w:t>
            </w:r>
          </w:p>
        </w:tc>
        <w:tc>
          <w:tcPr>
            <w:tcW w:w="6249" w:type="dxa"/>
            <w:gridSpan w:val="6"/>
            <w:tcBorders>
              <w:top w:val="single" w:color="000000" w:sz="4" w:space="0"/>
              <w:left w:val="nil"/>
              <w:bottom w:val="single" w:color="000000" w:sz="4" w:space="0"/>
              <w:right w:val="single" w:color="000000" w:sz="4" w:space="0"/>
            </w:tcBorders>
          </w:tcPr>
          <w:p>
            <w:pPr>
              <w:jc w:val="center"/>
              <w:rPr>
                <w:rFonts w:hint="eastAsia" w:ascii="宋体" w:hAnsi="宋体"/>
              </w:rPr>
            </w:pPr>
            <w:r>
              <w:rPr>
                <w:rFonts w:hint="eastAsia" w:ascii="宋体" w:hAnsi="宋体"/>
              </w:rPr>
              <w:t>加工费（元</w:t>
            </w:r>
            <w:r>
              <w:rPr>
                <w:rFonts w:hint="eastAsia"/>
              </w:rPr>
              <w:t>/</w:t>
            </w:r>
            <w:r>
              <w:rPr>
                <w:rFonts w:hint="eastAsia" w:ascii="宋体" w:hAnsi="宋体"/>
              </w:rPr>
              <w:t>吨）</w:t>
            </w:r>
          </w:p>
        </w:tc>
        <w:tc>
          <w:tcPr>
            <w:tcW w:w="1096" w:type="dxa"/>
            <w:vMerge w:val="restart"/>
            <w:tcBorders>
              <w:top w:val="single" w:color="000000" w:sz="4" w:space="0"/>
              <w:left w:val="nil"/>
              <w:right w:val="single" w:color="000000" w:sz="4" w:space="0"/>
            </w:tcBorders>
            <w:vAlign w:val="center"/>
          </w:tcPr>
          <w:p>
            <w:pPr>
              <w:jc w:val="center"/>
              <w:rPr>
                <w:rFonts w:ascii="宋体" w:hAnsi="宋体"/>
              </w:rPr>
            </w:pPr>
            <w:r>
              <w:rPr>
                <w:rFonts w:hint="eastAsia" w:ascii="宋体" w:hAnsi="宋体"/>
              </w:rPr>
              <w:t>交货期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8" w:hRule="atLeast"/>
        </w:trPr>
        <w:tc>
          <w:tcPr>
            <w:tcW w:w="109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pPr>
          </w:p>
        </w:tc>
        <w:tc>
          <w:tcPr>
            <w:tcW w:w="1056" w:type="dxa"/>
            <w:vMerge w:val="continue"/>
            <w:tcBorders>
              <w:top w:val="single" w:color="000000" w:sz="4" w:space="0"/>
              <w:left w:val="nil"/>
              <w:bottom w:val="single" w:color="000000" w:sz="4" w:space="0"/>
              <w:right w:val="single" w:color="000000" w:sz="4" w:space="0"/>
            </w:tcBorders>
            <w:vAlign w:val="center"/>
          </w:tcPr>
          <w:p>
            <w:pPr>
              <w:widowControl/>
              <w:jc w:val="left"/>
            </w:pPr>
          </w:p>
        </w:tc>
        <w:tc>
          <w:tcPr>
            <w:tcW w:w="1004" w:type="dxa"/>
            <w:vMerge w:val="continue"/>
            <w:tcBorders>
              <w:left w:val="nil"/>
              <w:bottom w:val="single" w:color="000000" w:sz="4" w:space="0"/>
              <w:right w:val="single" w:color="000000" w:sz="4" w:space="0"/>
            </w:tcBorders>
            <w:vAlign w:val="center"/>
          </w:tcPr>
          <w:p>
            <w:pPr>
              <w:widowControl/>
              <w:jc w:val="left"/>
              <w:rPr>
                <w:rFonts w:ascii="宋体" w:hAnsi="宋体"/>
              </w:rPr>
            </w:pPr>
          </w:p>
        </w:tc>
        <w:tc>
          <w:tcPr>
            <w:tcW w:w="965" w:type="dxa"/>
            <w:tcBorders>
              <w:top w:val="single" w:color="auto" w:sz="4" w:space="0"/>
              <w:left w:val="nil"/>
              <w:bottom w:val="single" w:color="000000" w:sz="4" w:space="0"/>
              <w:right w:val="single" w:color="000000" w:sz="4" w:space="0"/>
            </w:tcBorders>
            <w:vAlign w:val="center"/>
          </w:tcPr>
          <w:p>
            <w:pPr>
              <w:widowControl/>
              <w:jc w:val="center"/>
              <w:rPr>
                <w:rFonts w:ascii="宋体" w:hAnsi="宋体"/>
              </w:rPr>
            </w:pPr>
            <w:r>
              <w:rPr>
                <w:rFonts w:hint="eastAsia" w:ascii="宋体" w:hAnsi="宋体"/>
              </w:rPr>
              <w:t>货到</w:t>
            </w:r>
            <w:r>
              <w:rPr>
                <w:rFonts w:hint="eastAsia" w:ascii="宋体" w:hAnsi="宋体"/>
                <w:lang w:val="en-US" w:eastAsia="zh-CN"/>
              </w:rPr>
              <w:t>15</w:t>
            </w:r>
            <w:r>
              <w:rPr>
                <w:rFonts w:hint="eastAsia" w:ascii="宋体" w:hAnsi="宋体"/>
              </w:rPr>
              <w:t>天承兑价格</w:t>
            </w:r>
          </w:p>
        </w:tc>
        <w:tc>
          <w:tcPr>
            <w:tcW w:w="1009" w:type="dxa"/>
            <w:tcBorders>
              <w:top w:val="single" w:color="auto" w:sz="4" w:space="0"/>
              <w:left w:val="nil"/>
              <w:bottom w:val="single" w:color="000000" w:sz="4" w:space="0"/>
              <w:right w:val="single" w:color="000000" w:sz="4" w:space="0"/>
            </w:tcBorders>
            <w:vAlign w:val="center"/>
          </w:tcPr>
          <w:p>
            <w:pPr>
              <w:widowControl/>
              <w:jc w:val="center"/>
              <w:rPr>
                <w:rFonts w:hint="eastAsia" w:ascii="宋体" w:hAnsi="宋体"/>
              </w:rPr>
            </w:pPr>
            <w:r>
              <w:rPr>
                <w:rFonts w:hint="eastAsia" w:ascii="宋体" w:hAnsi="宋体"/>
              </w:rPr>
              <w:t>货到</w:t>
            </w:r>
            <w:r>
              <w:rPr>
                <w:rFonts w:hint="eastAsia" w:ascii="宋体" w:hAnsi="宋体"/>
                <w:lang w:val="en-US" w:eastAsia="zh-CN"/>
              </w:rPr>
              <w:t>30</w:t>
            </w:r>
            <w:r>
              <w:rPr>
                <w:rFonts w:hint="eastAsia" w:ascii="宋体" w:hAnsi="宋体"/>
              </w:rPr>
              <w:t>天承兑价格</w:t>
            </w:r>
          </w:p>
        </w:tc>
        <w:tc>
          <w:tcPr>
            <w:tcW w:w="915" w:type="dxa"/>
            <w:tcBorders>
              <w:top w:val="single" w:color="auto" w:sz="4" w:space="0"/>
              <w:left w:val="nil"/>
              <w:bottom w:val="single" w:color="000000" w:sz="4" w:space="0"/>
              <w:right w:val="single" w:color="000000" w:sz="4" w:space="0"/>
            </w:tcBorders>
            <w:vAlign w:val="center"/>
          </w:tcPr>
          <w:p>
            <w:pPr>
              <w:widowControl/>
              <w:jc w:val="center"/>
              <w:rPr>
                <w:rFonts w:hint="default" w:ascii="宋体" w:hAnsi="宋体" w:eastAsia="宋体"/>
                <w:lang w:val="en-US" w:eastAsia="zh-CN"/>
              </w:rPr>
            </w:pPr>
            <w:r>
              <w:rPr>
                <w:rFonts w:hint="eastAsia" w:ascii="宋体" w:hAnsi="宋体"/>
                <w:lang w:val="en-US" w:eastAsia="zh-CN"/>
              </w:rPr>
              <w:t>电汇降价</w:t>
            </w:r>
          </w:p>
        </w:tc>
        <w:tc>
          <w:tcPr>
            <w:tcW w:w="1155" w:type="dxa"/>
            <w:tcBorders>
              <w:top w:val="single" w:color="auto" w:sz="4" w:space="0"/>
              <w:left w:val="nil"/>
              <w:bottom w:val="single" w:color="000000" w:sz="4" w:space="0"/>
              <w:right w:val="single" w:color="000000" w:sz="4" w:space="0"/>
            </w:tcBorders>
            <w:vAlign w:val="center"/>
          </w:tcPr>
          <w:p>
            <w:pPr>
              <w:widowControl/>
              <w:jc w:val="center"/>
              <w:rPr>
                <w:rFonts w:hint="default" w:ascii="宋体" w:hAnsi="宋体"/>
                <w:lang w:val="en-US" w:eastAsia="zh-CN"/>
              </w:rPr>
            </w:pPr>
            <w:r>
              <w:rPr>
                <w:rFonts w:hint="eastAsia" w:ascii="宋体" w:hAnsi="宋体"/>
                <w:lang w:val="en-US" w:eastAsia="zh-CN"/>
              </w:rPr>
              <w:t>预付300万银承</w:t>
            </w:r>
          </w:p>
        </w:tc>
        <w:tc>
          <w:tcPr>
            <w:tcW w:w="1185" w:type="dxa"/>
            <w:tcBorders>
              <w:top w:val="single" w:color="auto"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其它付款方式</w:t>
            </w:r>
          </w:p>
        </w:tc>
        <w:tc>
          <w:tcPr>
            <w:tcW w:w="1020" w:type="dxa"/>
            <w:tcBorders>
              <w:left w:val="nil"/>
              <w:bottom w:val="single" w:color="000000" w:sz="4" w:space="0"/>
              <w:right w:val="single" w:color="000000" w:sz="4" w:space="0"/>
            </w:tcBorders>
            <w:vAlign w:val="center"/>
          </w:tcPr>
          <w:p>
            <w:pPr>
              <w:jc w:val="center"/>
              <w:rPr>
                <w:rFonts w:hint="eastAsia" w:ascii="宋体" w:hAnsi="宋体" w:eastAsia="宋体"/>
                <w:lang w:val="en-US" w:eastAsia="zh-CN"/>
              </w:rPr>
            </w:pPr>
            <w:r>
              <w:rPr>
                <w:rFonts w:hint="eastAsia" w:ascii="宋体" w:hAnsi="宋体"/>
                <w:lang w:val="en-US" w:eastAsia="zh-CN"/>
              </w:rPr>
              <w:t>运费</w:t>
            </w:r>
          </w:p>
        </w:tc>
        <w:tc>
          <w:tcPr>
            <w:tcW w:w="1096" w:type="dxa"/>
            <w:vMerge w:val="continue"/>
            <w:tcBorders>
              <w:left w:val="nil"/>
              <w:bottom w:val="single" w:color="000000" w:sz="4" w:space="0"/>
              <w:right w:val="single" w:color="000000" w:sz="4" w:space="0"/>
            </w:tcBorders>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exact"/>
        </w:trPr>
        <w:tc>
          <w:tcPr>
            <w:tcW w:w="109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0.92≤厚度≤</w:t>
            </w:r>
            <w:r>
              <w:rPr>
                <w:rFonts w:hint="eastAsia"/>
              </w:rPr>
              <w:t>4.0</w:t>
            </w:r>
          </w:p>
        </w:tc>
        <w:tc>
          <w:tcPr>
            <w:tcW w:w="1056" w:type="dxa"/>
            <w:tcBorders>
              <w:top w:val="single" w:color="000000" w:sz="4" w:space="0"/>
              <w:left w:val="nil"/>
              <w:bottom w:val="single" w:color="000000" w:sz="4" w:space="0"/>
              <w:right w:val="single" w:color="000000" w:sz="4" w:space="0"/>
            </w:tcBorders>
            <w:vAlign w:val="center"/>
          </w:tcPr>
          <w:p>
            <w:pPr>
              <w:jc w:val="center"/>
              <w:rPr>
                <w:sz w:val="18"/>
                <w:szCs w:val="18"/>
              </w:rPr>
            </w:pPr>
            <w:r>
              <w:rPr>
                <w:rFonts w:hint="eastAsia" w:ascii="宋体" w:hAnsi="宋体"/>
                <w:sz w:val="18"/>
                <w:szCs w:val="18"/>
              </w:rPr>
              <w:t>900≤</w:t>
            </w:r>
            <w:r>
              <w:rPr>
                <w:rFonts w:hint="eastAsia"/>
                <w:sz w:val="18"/>
                <w:szCs w:val="18"/>
              </w:rPr>
              <w:t>W</w:t>
            </w:r>
            <w:r>
              <w:rPr>
                <w:rFonts w:hint="eastAsia" w:ascii="宋体" w:hAnsi="宋体"/>
                <w:sz w:val="18"/>
                <w:szCs w:val="18"/>
              </w:rPr>
              <w:t>≤</w:t>
            </w:r>
            <w:r>
              <w:rPr>
                <w:rFonts w:hint="eastAsia"/>
                <w:sz w:val="18"/>
                <w:szCs w:val="18"/>
              </w:rPr>
              <w:t>1600</w:t>
            </w:r>
          </w:p>
        </w:tc>
        <w:tc>
          <w:tcPr>
            <w:tcW w:w="1004"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sz w:val="18"/>
                <w:szCs w:val="18"/>
              </w:rPr>
              <w:t>1000≤</w:t>
            </w:r>
            <w:r>
              <w:rPr>
                <w:rFonts w:hint="eastAsia"/>
                <w:sz w:val="18"/>
                <w:szCs w:val="18"/>
              </w:rPr>
              <w:t>W</w:t>
            </w:r>
            <w:r>
              <w:rPr>
                <w:rFonts w:hint="eastAsia" w:ascii="宋体" w:hAnsi="宋体"/>
                <w:sz w:val="18"/>
                <w:szCs w:val="18"/>
              </w:rPr>
              <w:t>≤</w:t>
            </w:r>
            <w:r>
              <w:rPr>
                <w:rFonts w:hint="eastAsia"/>
                <w:sz w:val="18"/>
                <w:szCs w:val="18"/>
              </w:rPr>
              <w:t>6000</w:t>
            </w:r>
          </w:p>
        </w:tc>
        <w:tc>
          <w:tcPr>
            <w:tcW w:w="965" w:type="dxa"/>
            <w:tcBorders>
              <w:top w:val="single" w:color="000000" w:sz="4" w:space="0"/>
              <w:left w:val="nil"/>
              <w:bottom w:val="single" w:color="000000" w:sz="4" w:space="0"/>
              <w:right w:val="single" w:color="000000" w:sz="4" w:space="0"/>
            </w:tcBorders>
            <w:vAlign w:val="center"/>
          </w:tcPr>
          <w:p>
            <w:pPr>
              <w:jc w:val="center"/>
            </w:pPr>
          </w:p>
        </w:tc>
        <w:tc>
          <w:tcPr>
            <w:tcW w:w="1009" w:type="dxa"/>
            <w:tcBorders>
              <w:top w:val="single" w:color="000000" w:sz="4" w:space="0"/>
              <w:left w:val="nil"/>
              <w:bottom w:val="single" w:color="000000" w:sz="4" w:space="0"/>
              <w:right w:val="single" w:color="000000" w:sz="4" w:space="0"/>
            </w:tcBorders>
            <w:vAlign w:val="center"/>
          </w:tcPr>
          <w:p>
            <w:pPr>
              <w:jc w:val="center"/>
            </w:pPr>
          </w:p>
        </w:tc>
        <w:tc>
          <w:tcPr>
            <w:tcW w:w="915" w:type="dxa"/>
            <w:tcBorders>
              <w:top w:val="single" w:color="000000" w:sz="4" w:space="0"/>
              <w:left w:val="nil"/>
              <w:bottom w:val="single" w:color="000000" w:sz="4" w:space="0"/>
              <w:right w:val="single" w:color="000000" w:sz="4" w:space="0"/>
            </w:tcBorders>
            <w:vAlign w:val="center"/>
          </w:tcPr>
          <w:p>
            <w:pPr>
              <w:jc w:val="center"/>
            </w:pPr>
          </w:p>
        </w:tc>
        <w:tc>
          <w:tcPr>
            <w:tcW w:w="1155" w:type="dxa"/>
            <w:tcBorders>
              <w:top w:val="single" w:color="000000" w:sz="4" w:space="0"/>
              <w:left w:val="nil"/>
              <w:bottom w:val="single" w:color="000000" w:sz="4" w:space="0"/>
              <w:right w:val="single" w:color="000000" w:sz="4" w:space="0"/>
            </w:tcBorders>
            <w:vAlign w:val="center"/>
          </w:tcPr>
          <w:p>
            <w:pPr>
              <w:jc w:val="center"/>
            </w:pPr>
          </w:p>
        </w:tc>
        <w:tc>
          <w:tcPr>
            <w:tcW w:w="1185" w:type="dxa"/>
            <w:tcBorders>
              <w:top w:val="single" w:color="000000" w:sz="4" w:space="0"/>
              <w:left w:val="nil"/>
              <w:bottom w:val="single" w:color="000000" w:sz="4" w:space="0"/>
              <w:right w:val="single" w:color="000000" w:sz="4" w:space="0"/>
            </w:tcBorders>
            <w:vAlign w:val="center"/>
          </w:tcPr>
          <w:p>
            <w:pPr>
              <w:jc w:val="center"/>
            </w:pPr>
          </w:p>
        </w:tc>
        <w:tc>
          <w:tcPr>
            <w:tcW w:w="1020" w:type="dxa"/>
            <w:tcBorders>
              <w:top w:val="single" w:color="000000" w:sz="4" w:space="0"/>
              <w:left w:val="nil"/>
              <w:bottom w:val="single" w:color="000000" w:sz="4" w:space="0"/>
              <w:right w:val="single" w:color="000000" w:sz="4" w:space="0"/>
            </w:tcBorders>
            <w:vAlign w:val="center"/>
          </w:tcPr>
          <w:p>
            <w:pPr>
              <w:jc w:val="center"/>
            </w:pPr>
          </w:p>
        </w:tc>
        <w:tc>
          <w:tcPr>
            <w:tcW w:w="1096"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exact"/>
        </w:trPr>
        <w:tc>
          <w:tcPr>
            <w:tcW w:w="109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0.92≤厚度≤4</w:t>
            </w:r>
            <w:r>
              <w:rPr>
                <w:rFonts w:hint="eastAsia"/>
              </w:rPr>
              <w:t>.0</w:t>
            </w:r>
          </w:p>
        </w:tc>
        <w:tc>
          <w:tcPr>
            <w:tcW w:w="1056" w:type="dxa"/>
            <w:tcBorders>
              <w:top w:val="single" w:color="000000" w:sz="4" w:space="0"/>
              <w:left w:val="nil"/>
              <w:bottom w:val="single" w:color="000000" w:sz="4" w:space="0"/>
              <w:right w:val="single" w:color="000000" w:sz="4" w:space="0"/>
            </w:tcBorders>
            <w:vAlign w:val="center"/>
          </w:tcPr>
          <w:p>
            <w:pPr>
              <w:jc w:val="center"/>
              <w:rPr>
                <w:sz w:val="18"/>
                <w:szCs w:val="18"/>
              </w:rPr>
            </w:pPr>
            <w:r>
              <w:rPr>
                <w:rFonts w:hint="eastAsia" w:ascii="宋体" w:hAnsi="宋体"/>
                <w:sz w:val="18"/>
                <w:szCs w:val="18"/>
              </w:rPr>
              <w:t>1700</w:t>
            </w:r>
          </w:p>
        </w:tc>
        <w:tc>
          <w:tcPr>
            <w:tcW w:w="1004"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sz w:val="18"/>
                <w:szCs w:val="18"/>
              </w:rPr>
              <w:t>1000≤</w:t>
            </w:r>
            <w:r>
              <w:rPr>
                <w:rFonts w:hint="eastAsia"/>
                <w:sz w:val="18"/>
                <w:szCs w:val="18"/>
              </w:rPr>
              <w:t>W</w:t>
            </w:r>
            <w:r>
              <w:rPr>
                <w:rFonts w:hint="eastAsia" w:ascii="宋体" w:hAnsi="宋体"/>
                <w:sz w:val="18"/>
                <w:szCs w:val="18"/>
              </w:rPr>
              <w:t>≤</w:t>
            </w:r>
            <w:r>
              <w:rPr>
                <w:rFonts w:hint="eastAsia"/>
                <w:sz w:val="18"/>
                <w:szCs w:val="18"/>
              </w:rPr>
              <w:t>6000</w:t>
            </w:r>
          </w:p>
        </w:tc>
        <w:tc>
          <w:tcPr>
            <w:tcW w:w="965" w:type="dxa"/>
            <w:tcBorders>
              <w:top w:val="single" w:color="000000" w:sz="4" w:space="0"/>
              <w:left w:val="nil"/>
              <w:bottom w:val="single" w:color="000000" w:sz="4" w:space="0"/>
              <w:right w:val="single" w:color="000000" w:sz="4" w:space="0"/>
            </w:tcBorders>
            <w:vAlign w:val="center"/>
          </w:tcPr>
          <w:p>
            <w:pPr>
              <w:jc w:val="center"/>
            </w:pPr>
          </w:p>
        </w:tc>
        <w:tc>
          <w:tcPr>
            <w:tcW w:w="1009" w:type="dxa"/>
            <w:tcBorders>
              <w:top w:val="single" w:color="000000" w:sz="4" w:space="0"/>
              <w:left w:val="nil"/>
              <w:bottom w:val="single" w:color="000000" w:sz="4" w:space="0"/>
              <w:right w:val="single" w:color="000000" w:sz="4" w:space="0"/>
            </w:tcBorders>
            <w:vAlign w:val="center"/>
          </w:tcPr>
          <w:p>
            <w:pPr>
              <w:jc w:val="center"/>
            </w:pPr>
          </w:p>
        </w:tc>
        <w:tc>
          <w:tcPr>
            <w:tcW w:w="915" w:type="dxa"/>
            <w:tcBorders>
              <w:top w:val="single" w:color="000000" w:sz="4" w:space="0"/>
              <w:left w:val="nil"/>
              <w:bottom w:val="single" w:color="000000" w:sz="4" w:space="0"/>
              <w:right w:val="single" w:color="000000" w:sz="4" w:space="0"/>
            </w:tcBorders>
            <w:vAlign w:val="center"/>
          </w:tcPr>
          <w:p>
            <w:pPr>
              <w:jc w:val="center"/>
            </w:pPr>
          </w:p>
        </w:tc>
        <w:tc>
          <w:tcPr>
            <w:tcW w:w="1155" w:type="dxa"/>
            <w:tcBorders>
              <w:top w:val="single" w:color="000000" w:sz="4" w:space="0"/>
              <w:left w:val="nil"/>
              <w:bottom w:val="single" w:color="000000" w:sz="4" w:space="0"/>
              <w:right w:val="single" w:color="000000" w:sz="4" w:space="0"/>
            </w:tcBorders>
            <w:vAlign w:val="center"/>
          </w:tcPr>
          <w:p>
            <w:pPr>
              <w:jc w:val="center"/>
            </w:pPr>
          </w:p>
        </w:tc>
        <w:tc>
          <w:tcPr>
            <w:tcW w:w="1185" w:type="dxa"/>
            <w:tcBorders>
              <w:top w:val="single" w:color="000000" w:sz="4" w:space="0"/>
              <w:left w:val="nil"/>
              <w:bottom w:val="single" w:color="000000" w:sz="4" w:space="0"/>
              <w:right w:val="single" w:color="000000" w:sz="4" w:space="0"/>
            </w:tcBorders>
            <w:vAlign w:val="center"/>
          </w:tcPr>
          <w:p>
            <w:pPr>
              <w:jc w:val="center"/>
            </w:pPr>
          </w:p>
        </w:tc>
        <w:tc>
          <w:tcPr>
            <w:tcW w:w="1020" w:type="dxa"/>
            <w:tcBorders>
              <w:top w:val="single" w:color="000000" w:sz="4" w:space="0"/>
              <w:left w:val="nil"/>
              <w:bottom w:val="single" w:color="000000" w:sz="4" w:space="0"/>
              <w:right w:val="single" w:color="000000" w:sz="4" w:space="0"/>
            </w:tcBorders>
            <w:vAlign w:val="center"/>
          </w:tcPr>
          <w:p>
            <w:pPr>
              <w:jc w:val="center"/>
            </w:pPr>
          </w:p>
        </w:tc>
        <w:tc>
          <w:tcPr>
            <w:tcW w:w="1096"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exact"/>
        </w:trPr>
        <w:tc>
          <w:tcPr>
            <w:tcW w:w="109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0.92≤厚度≤4</w:t>
            </w:r>
            <w:r>
              <w:rPr>
                <w:rFonts w:hint="eastAsia"/>
              </w:rPr>
              <w:t>.0</w:t>
            </w:r>
          </w:p>
        </w:tc>
        <w:tc>
          <w:tcPr>
            <w:tcW w:w="1056" w:type="dxa"/>
            <w:tcBorders>
              <w:top w:val="single" w:color="000000" w:sz="4" w:space="0"/>
              <w:left w:val="nil"/>
              <w:bottom w:val="single" w:color="000000" w:sz="4" w:space="0"/>
              <w:right w:val="single" w:color="000000" w:sz="4" w:space="0"/>
            </w:tcBorders>
            <w:vAlign w:val="center"/>
          </w:tcPr>
          <w:p>
            <w:pPr>
              <w:jc w:val="center"/>
              <w:rPr>
                <w:sz w:val="18"/>
                <w:szCs w:val="18"/>
              </w:rPr>
            </w:pPr>
            <w:r>
              <w:rPr>
                <w:rFonts w:hint="eastAsia" w:ascii="宋体" w:hAnsi="宋体"/>
                <w:sz w:val="18"/>
                <w:szCs w:val="18"/>
              </w:rPr>
              <w:t>1800</w:t>
            </w:r>
          </w:p>
        </w:tc>
        <w:tc>
          <w:tcPr>
            <w:tcW w:w="1004"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sz w:val="18"/>
                <w:szCs w:val="18"/>
              </w:rPr>
              <w:t>1000≤</w:t>
            </w:r>
            <w:r>
              <w:rPr>
                <w:rFonts w:hint="eastAsia"/>
                <w:sz w:val="18"/>
                <w:szCs w:val="18"/>
              </w:rPr>
              <w:t>W</w:t>
            </w:r>
            <w:r>
              <w:rPr>
                <w:rFonts w:hint="eastAsia" w:ascii="宋体" w:hAnsi="宋体"/>
                <w:sz w:val="18"/>
                <w:szCs w:val="18"/>
              </w:rPr>
              <w:t>≤</w:t>
            </w:r>
            <w:r>
              <w:rPr>
                <w:rFonts w:hint="eastAsia"/>
                <w:sz w:val="18"/>
                <w:szCs w:val="18"/>
              </w:rPr>
              <w:t>6000</w:t>
            </w:r>
          </w:p>
        </w:tc>
        <w:tc>
          <w:tcPr>
            <w:tcW w:w="965" w:type="dxa"/>
            <w:tcBorders>
              <w:top w:val="single" w:color="000000" w:sz="4" w:space="0"/>
              <w:left w:val="nil"/>
              <w:bottom w:val="single" w:color="000000" w:sz="4" w:space="0"/>
              <w:right w:val="single" w:color="000000" w:sz="4" w:space="0"/>
            </w:tcBorders>
            <w:vAlign w:val="center"/>
          </w:tcPr>
          <w:p>
            <w:pPr>
              <w:jc w:val="center"/>
            </w:pPr>
          </w:p>
        </w:tc>
        <w:tc>
          <w:tcPr>
            <w:tcW w:w="1009" w:type="dxa"/>
            <w:tcBorders>
              <w:top w:val="single" w:color="000000" w:sz="4" w:space="0"/>
              <w:left w:val="nil"/>
              <w:bottom w:val="single" w:color="000000" w:sz="4" w:space="0"/>
              <w:right w:val="single" w:color="000000" w:sz="4" w:space="0"/>
            </w:tcBorders>
            <w:vAlign w:val="center"/>
          </w:tcPr>
          <w:p>
            <w:pPr>
              <w:jc w:val="center"/>
            </w:pPr>
          </w:p>
        </w:tc>
        <w:tc>
          <w:tcPr>
            <w:tcW w:w="915" w:type="dxa"/>
            <w:tcBorders>
              <w:top w:val="single" w:color="000000" w:sz="4" w:space="0"/>
              <w:left w:val="nil"/>
              <w:bottom w:val="single" w:color="000000" w:sz="4" w:space="0"/>
              <w:right w:val="single" w:color="000000" w:sz="4" w:space="0"/>
            </w:tcBorders>
            <w:vAlign w:val="center"/>
          </w:tcPr>
          <w:p>
            <w:pPr>
              <w:jc w:val="center"/>
            </w:pPr>
          </w:p>
        </w:tc>
        <w:tc>
          <w:tcPr>
            <w:tcW w:w="1155" w:type="dxa"/>
            <w:tcBorders>
              <w:top w:val="single" w:color="000000" w:sz="4" w:space="0"/>
              <w:left w:val="nil"/>
              <w:bottom w:val="single" w:color="000000" w:sz="4" w:space="0"/>
              <w:right w:val="single" w:color="000000" w:sz="4" w:space="0"/>
            </w:tcBorders>
            <w:vAlign w:val="center"/>
          </w:tcPr>
          <w:p>
            <w:pPr>
              <w:jc w:val="center"/>
            </w:pPr>
          </w:p>
        </w:tc>
        <w:tc>
          <w:tcPr>
            <w:tcW w:w="1185" w:type="dxa"/>
            <w:tcBorders>
              <w:top w:val="single" w:color="000000" w:sz="4" w:space="0"/>
              <w:left w:val="nil"/>
              <w:bottom w:val="single" w:color="000000" w:sz="4" w:space="0"/>
              <w:right w:val="single" w:color="000000" w:sz="4" w:space="0"/>
            </w:tcBorders>
            <w:vAlign w:val="center"/>
          </w:tcPr>
          <w:p>
            <w:pPr>
              <w:jc w:val="center"/>
            </w:pPr>
          </w:p>
        </w:tc>
        <w:tc>
          <w:tcPr>
            <w:tcW w:w="1020" w:type="dxa"/>
            <w:tcBorders>
              <w:top w:val="single" w:color="000000" w:sz="4" w:space="0"/>
              <w:left w:val="nil"/>
              <w:bottom w:val="single" w:color="000000" w:sz="4" w:space="0"/>
              <w:right w:val="single" w:color="000000" w:sz="4" w:space="0"/>
            </w:tcBorders>
            <w:vAlign w:val="center"/>
          </w:tcPr>
          <w:p>
            <w:pPr>
              <w:jc w:val="center"/>
            </w:pPr>
          </w:p>
        </w:tc>
        <w:tc>
          <w:tcPr>
            <w:tcW w:w="1096"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exact"/>
        </w:trPr>
        <w:tc>
          <w:tcPr>
            <w:tcW w:w="109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056" w:type="dxa"/>
            <w:tcBorders>
              <w:top w:val="single" w:color="000000" w:sz="4" w:space="0"/>
              <w:left w:val="nil"/>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1900</w:t>
            </w:r>
          </w:p>
        </w:tc>
        <w:tc>
          <w:tcPr>
            <w:tcW w:w="1004"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sz w:val="18"/>
                <w:szCs w:val="18"/>
              </w:rPr>
              <w:t>1000≤</w:t>
            </w:r>
            <w:r>
              <w:rPr>
                <w:rFonts w:hint="eastAsia"/>
                <w:sz w:val="18"/>
                <w:szCs w:val="18"/>
              </w:rPr>
              <w:t>W</w:t>
            </w:r>
            <w:r>
              <w:rPr>
                <w:rFonts w:hint="eastAsia" w:ascii="宋体" w:hAnsi="宋体"/>
                <w:sz w:val="18"/>
                <w:szCs w:val="18"/>
              </w:rPr>
              <w:t>≤</w:t>
            </w:r>
            <w:r>
              <w:rPr>
                <w:rFonts w:hint="eastAsia"/>
                <w:sz w:val="18"/>
                <w:szCs w:val="18"/>
              </w:rPr>
              <w:t>6000</w:t>
            </w:r>
          </w:p>
        </w:tc>
        <w:tc>
          <w:tcPr>
            <w:tcW w:w="965" w:type="dxa"/>
            <w:tcBorders>
              <w:top w:val="single" w:color="000000" w:sz="4" w:space="0"/>
              <w:left w:val="nil"/>
              <w:bottom w:val="single" w:color="000000" w:sz="4" w:space="0"/>
              <w:right w:val="single" w:color="000000" w:sz="4" w:space="0"/>
            </w:tcBorders>
            <w:vAlign w:val="center"/>
          </w:tcPr>
          <w:p>
            <w:pPr>
              <w:jc w:val="center"/>
            </w:pPr>
          </w:p>
        </w:tc>
        <w:tc>
          <w:tcPr>
            <w:tcW w:w="1009" w:type="dxa"/>
            <w:tcBorders>
              <w:top w:val="single" w:color="000000" w:sz="4" w:space="0"/>
              <w:left w:val="nil"/>
              <w:bottom w:val="single" w:color="000000" w:sz="4" w:space="0"/>
              <w:right w:val="single" w:color="000000" w:sz="4" w:space="0"/>
            </w:tcBorders>
            <w:vAlign w:val="center"/>
          </w:tcPr>
          <w:p>
            <w:pPr>
              <w:jc w:val="center"/>
            </w:pPr>
          </w:p>
        </w:tc>
        <w:tc>
          <w:tcPr>
            <w:tcW w:w="915" w:type="dxa"/>
            <w:tcBorders>
              <w:top w:val="single" w:color="000000" w:sz="4" w:space="0"/>
              <w:left w:val="nil"/>
              <w:bottom w:val="single" w:color="000000" w:sz="4" w:space="0"/>
              <w:right w:val="single" w:color="000000" w:sz="4" w:space="0"/>
            </w:tcBorders>
            <w:vAlign w:val="center"/>
          </w:tcPr>
          <w:p>
            <w:pPr>
              <w:jc w:val="center"/>
            </w:pPr>
          </w:p>
        </w:tc>
        <w:tc>
          <w:tcPr>
            <w:tcW w:w="1155" w:type="dxa"/>
            <w:tcBorders>
              <w:top w:val="single" w:color="000000" w:sz="4" w:space="0"/>
              <w:left w:val="nil"/>
              <w:bottom w:val="single" w:color="000000" w:sz="4" w:space="0"/>
              <w:right w:val="single" w:color="000000" w:sz="4" w:space="0"/>
            </w:tcBorders>
            <w:vAlign w:val="center"/>
          </w:tcPr>
          <w:p>
            <w:pPr>
              <w:jc w:val="center"/>
            </w:pPr>
          </w:p>
        </w:tc>
        <w:tc>
          <w:tcPr>
            <w:tcW w:w="1185" w:type="dxa"/>
            <w:tcBorders>
              <w:top w:val="single" w:color="000000" w:sz="4" w:space="0"/>
              <w:left w:val="nil"/>
              <w:bottom w:val="single" w:color="000000" w:sz="4" w:space="0"/>
              <w:right w:val="single" w:color="000000" w:sz="4" w:space="0"/>
            </w:tcBorders>
            <w:vAlign w:val="center"/>
          </w:tcPr>
          <w:p>
            <w:pPr>
              <w:jc w:val="center"/>
            </w:pPr>
          </w:p>
        </w:tc>
        <w:tc>
          <w:tcPr>
            <w:tcW w:w="1020" w:type="dxa"/>
            <w:tcBorders>
              <w:top w:val="single" w:color="000000" w:sz="4" w:space="0"/>
              <w:left w:val="nil"/>
              <w:bottom w:val="single" w:color="000000" w:sz="4" w:space="0"/>
              <w:right w:val="single" w:color="000000" w:sz="4" w:space="0"/>
            </w:tcBorders>
            <w:vAlign w:val="center"/>
          </w:tcPr>
          <w:p>
            <w:pPr>
              <w:jc w:val="center"/>
            </w:pPr>
          </w:p>
        </w:tc>
        <w:tc>
          <w:tcPr>
            <w:tcW w:w="1096"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exact"/>
        </w:trPr>
        <w:tc>
          <w:tcPr>
            <w:tcW w:w="109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056" w:type="dxa"/>
            <w:tcBorders>
              <w:top w:val="single" w:color="000000" w:sz="4" w:space="0"/>
              <w:left w:val="nil"/>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2000</w:t>
            </w:r>
          </w:p>
        </w:tc>
        <w:tc>
          <w:tcPr>
            <w:tcW w:w="1004"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sz w:val="18"/>
                <w:szCs w:val="18"/>
              </w:rPr>
              <w:t>1000≤</w:t>
            </w:r>
            <w:r>
              <w:rPr>
                <w:rFonts w:hint="eastAsia"/>
                <w:sz w:val="18"/>
                <w:szCs w:val="18"/>
              </w:rPr>
              <w:t>W</w:t>
            </w:r>
            <w:r>
              <w:rPr>
                <w:rFonts w:hint="eastAsia" w:ascii="宋体" w:hAnsi="宋体"/>
                <w:sz w:val="18"/>
                <w:szCs w:val="18"/>
              </w:rPr>
              <w:t>≤</w:t>
            </w:r>
            <w:r>
              <w:rPr>
                <w:rFonts w:hint="eastAsia"/>
                <w:sz w:val="18"/>
                <w:szCs w:val="18"/>
              </w:rPr>
              <w:t>6000</w:t>
            </w:r>
          </w:p>
        </w:tc>
        <w:tc>
          <w:tcPr>
            <w:tcW w:w="965" w:type="dxa"/>
            <w:tcBorders>
              <w:top w:val="single" w:color="000000" w:sz="4" w:space="0"/>
              <w:left w:val="nil"/>
              <w:bottom w:val="single" w:color="000000" w:sz="4" w:space="0"/>
              <w:right w:val="single" w:color="000000" w:sz="4" w:space="0"/>
            </w:tcBorders>
            <w:vAlign w:val="center"/>
          </w:tcPr>
          <w:p>
            <w:pPr>
              <w:jc w:val="center"/>
            </w:pPr>
          </w:p>
        </w:tc>
        <w:tc>
          <w:tcPr>
            <w:tcW w:w="1009" w:type="dxa"/>
            <w:tcBorders>
              <w:top w:val="single" w:color="000000" w:sz="4" w:space="0"/>
              <w:left w:val="nil"/>
              <w:bottom w:val="single" w:color="000000" w:sz="4" w:space="0"/>
              <w:right w:val="single" w:color="000000" w:sz="4" w:space="0"/>
            </w:tcBorders>
            <w:vAlign w:val="center"/>
          </w:tcPr>
          <w:p>
            <w:pPr>
              <w:jc w:val="center"/>
            </w:pPr>
          </w:p>
        </w:tc>
        <w:tc>
          <w:tcPr>
            <w:tcW w:w="915" w:type="dxa"/>
            <w:tcBorders>
              <w:top w:val="single" w:color="000000" w:sz="4" w:space="0"/>
              <w:left w:val="nil"/>
              <w:bottom w:val="single" w:color="000000" w:sz="4" w:space="0"/>
              <w:right w:val="single" w:color="000000" w:sz="4" w:space="0"/>
            </w:tcBorders>
            <w:vAlign w:val="center"/>
          </w:tcPr>
          <w:p>
            <w:pPr>
              <w:jc w:val="center"/>
            </w:pPr>
          </w:p>
        </w:tc>
        <w:tc>
          <w:tcPr>
            <w:tcW w:w="1155" w:type="dxa"/>
            <w:tcBorders>
              <w:top w:val="single" w:color="000000" w:sz="4" w:space="0"/>
              <w:left w:val="nil"/>
              <w:bottom w:val="single" w:color="000000" w:sz="4" w:space="0"/>
              <w:right w:val="single" w:color="000000" w:sz="4" w:space="0"/>
            </w:tcBorders>
            <w:vAlign w:val="center"/>
          </w:tcPr>
          <w:p>
            <w:pPr>
              <w:jc w:val="center"/>
            </w:pPr>
          </w:p>
        </w:tc>
        <w:tc>
          <w:tcPr>
            <w:tcW w:w="1185" w:type="dxa"/>
            <w:tcBorders>
              <w:top w:val="single" w:color="000000" w:sz="4" w:space="0"/>
              <w:left w:val="nil"/>
              <w:bottom w:val="single" w:color="000000" w:sz="4" w:space="0"/>
              <w:right w:val="single" w:color="000000" w:sz="4" w:space="0"/>
            </w:tcBorders>
            <w:vAlign w:val="center"/>
          </w:tcPr>
          <w:p>
            <w:pPr>
              <w:jc w:val="center"/>
            </w:pPr>
          </w:p>
        </w:tc>
        <w:tc>
          <w:tcPr>
            <w:tcW w:w="1020" w:type="dxa"/>
            <w:tcBorders>
              <w:top w:val="single" w:color="000000" w:sz="4" w:space="0"/>
              <w:left w:val="nil"/>
              <w:bottom w:val="single" w:color="000000" w:sz="4" w:space="0"/>
              <w:right w:val="single" w:color="000000" w:sz="4" w:space="0"/>
            </w:tcBorders>
            <w:vAlign w:val="center"/>
          </w:tcPr>
          <w:p>
            <w:pPr>
              <w:jc w:val="center"/>
            </w:pPr>
          </w:p>
        </w:tc>
        <w:tc>
          <w:tcPr>
            <w:tcW w:w="1096"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exact"/>
        </w:trPr>
        <w:tc>
          <w:tcPr>
            <w:tcW w:w="109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056" w:type="dxa"/>
            <w:tcBorders>
              <w:top w:val="single" w:color="000000" w:sz="4" w:space="0"/>
              <w:left w:val="nil"/>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2100</w:t>
            </w:r>
          </w:p>
        </w:tc>
        <w:tc>
          <w:tcPr>
            <w:tcW w:w="1004"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sz w:val="18"/>
                <w:szCs w:val="18"/>
              </w:rPr>
              <w:t>1000≤</w:t>
            </w:r>
            <w:r>
              <w:rPr>
                <w:rFonts w:hint="eastAsia"/>
                <w:sz w:val="18"/>
                <w:szCs w:val="18"/>
              </w:rPr>
              <w:t>W</w:t>
            </w:r>
            <w:r>
              <w:rPr>
                <w:rFonts w:hint="eastAsia" w:ascii="宋体" w:hAnsi="宋体"/>
                <w:sz w:val="18"/>
                <w:szCs w:val="18"/>
              </w:rPr>
              <w:t>≤</w:t>
            </w:r>
            <w:r>
              <w:rPr>
                <w:rFonts w:hint="eastAsia"/>
                <w:sz w:val="18"/>
                <w:szCs w:val="18"/>
              </w:rPr>
              <w:t>6000</w:t>
            </w:r>
          </w:p>
        </w:tc>
        <w:tc>
          <w:tcPr>
            <w:tcW w:w="965" w:type="dxa"/>
            <w:tcBorders>
              <w:top w:val="single" w:color="000000" w:sz="4" w:space="0"/>
              <w:left w:val="nil"/>
              <w:bottom w:val="single" w:color="000000" w:sz="4" w:space="0"/>
              <w:right w:val="single" w:color="000000" w:sz="4" w:space="0"/>
            </w:tcBorders>
            <w:vAlign w:val="center"/>
          </w:tcPr>
          <w:p>
            <w:pPr>
              <w:jc w:val="center"/>
            </w:pPr>
          </w:p>
        </w:tc>
        <w:tc>
          <w:tcPr>
            <w:tcW w:w="1009" w:type="dxa"/>
            <w:tcBorders>
              <w:top w:val="single" w:color="000000" w:sz="4" w:space="0"/>
              <w:left w:val="nil"/>
              <w:bottom w:val="single" w:color="000000" w:sz="4" w:space="0"/>
              <w:right w:val="single" w:color="000000" w:sz="4" w:space="0"/>
            </w:tcBorders>
            <w:vAlign w:val="center"/>
          </w:tcPr>
          <w:p>
            <w:pPr>
              <w:jc w:val="center"/>
            </w:pPr>
          </w:p>
        </w:tc>
        <w:tc>
          <w:tcPr>
            <w:tcW w:w="915" w:type="dxa"/>
            <w:tcBorders>
              <w:top w:val="single" w:color="000000" w:sz="4" w:space="0"/>
              <w:left w:val="nil"/>
              <w:bottom w:val="single" w:color="000000" w:sz="4" w:space="0"/>
              <w:right w:val="single" w:color="000000" w:sz="4" w:space="0"/>
            </w:tcBorders>
            <w:vAlign w:val="center"/>
          </w:tcPr>
          <w:p>
            <w:pPr>
              <w:jc w:val="center"/>
            </w:pPr>
          </w:p>
        </w:tc>
        <w:tc>
          <w:tcPr>
            <w:tcW w:w="1155" w:type="dxa"/>
            <w:tcBorders>
              <w:top w:val="single" w:color="000000" w:sz="4" w:space="0"/>
              <w:left w:val="nil"/>
              <w:bottom w:val="single" w:color="000000" w:sz="4" w:space="0"/>
              <w:right w:val="single" w:color="000000" w:sz="4" w:space="0"/>
            </w:tcBorders>
            <w:vAlign w:val="center"/>
          </w:tcPr>
          <w:p>
            <w:pPr>
              <w:jc w:val="center"/>
            </w:pPr>
          </w:p>
        </w:tc>
        <w:tc>
          <w:tcPr>
            <w:tcW w:w="1185" w:type="dxa"/>
            <w:tcBorders>
              <w:top w:val="single" w:color="000000" w:sz="4" w:space="0"/>
              <w:left w:val="nil"/>
              <w:bottom w:val="single" w:color="000000" w:sz="4" w:space="0"/>
              <w:right w:val="single" w:color="000000" w:sz="4" w:space="0"/>
            </w:tcBorders>
            <w:vAlign w:val="center"/>
          </w:tcPr>
          <w:p>
            <w:pPr>
              <w:jc w:val="center"/>
            </w:pPr>
          </w:p>
        </w:tc>
        <w:tc>
          <w:tcPr>
            <w:tcW w:w="1020" w:type="dxa"/>
            <w:tcBorders>
              <w:top w:val="single" w:color="000000" w:sz="4" w:space="0"/>
              <w:left w:val="nil"/>
              <w:bottom w:val="single" w:color="000000" w:sz="4" w:space="0"/>
              <w:right w:val="single" w:color="000000" w:sz="4" w:space="0"/>
            </w:tcBorders>
            <w:vAlign w:val="center"/>
          </w:tcPr>
          <w:p>
            <w:pPr>
              <w:jc w:val="center"/>
            </w:pPr>
          </w:p>
        </w:tc>
        <w:tc>
          <w:tcPr>
            <w:tcW w:w="1096"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exact"/>
        </w:trPr>
        <w:tc>
          <w:tcPr>
            <w:tcW w:w="109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056" w:type="dxa"/>
            <w:tcBorders>
              <w:top w:val="single" w:color="000000" w:sz="4" w:space="0"/>
              <w:left w:val="nil"/>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2200</w:t>
            </w:r>
          </w:p>
        </w:tc>
        <w:tc>
          <w:tcPr>
            <w:tcW w:w="1004"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sz w:val="18"/>
                <w:szCs w:val="18"/>
              </w:rPr>
              <w:t>1000≤</w:t>
            </w:r>
            <w:r>
              <w:rPr>
                <w:rFonts w:hint="eastAsia"/>
                <w:sz w:val="18"/>
                <w:szCs w:val="18"/>
              </w:rPr>
              <w:t>W</w:t>
            </w:r>
            <w:r>
              <w:rPr>
                <w:rFonts w:hint="eastAsia" w:ascii="宋体" w:hAnsi="宋体"/>
                <w:sz w:val="18"/>
                <w:szCs w:val="18"/>
              </w:rPr>
              <w:t>≤</w:t>
            </w:r>
            <w:r>
              <w:rPr>
                <w:rFonts w:hint="eastAsia"/>
                <w:sz w:val="18"/>
                <w:szCs w:val="18"/>
              </w:rPr>
              <w:t>6000</w:t>
            </w:r>
          </w:p>
        </w:tc>
        <w:tc>
          <w:tcPr>
            <w:tcW w:w="965" w:type="dxa"/>
            <w:tcBorders>
              <w:top w:val="single" w:color="000000" w:sz="4" w:space="0"/>
              <w:left w:val="nil"/>
              <w:bottom w:val="single" w:color="000000" w:sz="4" w:space="0"/>
              <w:right w:val="single" w:color="000000" w:sz="4" w:space="0"/>
            </w:tcBorders>
            <w:vAlign w:val="center"/>
          </w:tcPr>
          <w:p>
            <w:pPr>
              <w:jc w:val="center"/>
            </w:pPr>
          </w:p>
        </w:tc>
        <w:tc>
          <w:tcPr>
            <w:tcW w:w="1009" w:type="dxa"/>
            <w:tcBorders>
              <w:top w:val="single" w:color="000000" w:sz="4" w:space="0"/>
              <w:left w:val="nil"/>
              <w:bottom w:val="single" w:color="000000" w:sz="4" w:space="0"/>
              <w:right w:val="single" w:color="000000" w:sz="4" w:space="0"/>
            </w:tcBorders>
            <w:vAlign w:val="center"/>
          </w:tcPr>
          <w:p>
            <w:pPr>
              <w:jc w:val="center"/>
            </w:pPr>
          </w:p>
        </w:tc>
        <w:tc>
          <w:tcPr>
            <w:tcW w:w="915" w:type="dxa"/>
            <w:tcBorders>
              <w:top w:val="single" w:color="000000" w:sz="4" w:space="0"/>
              <w:left w:val="nil"/>
              <w:bottom w:val="single" w:color="000000" w:sz="4" w:space="0"/>
              <w:right w:val="single" w:color="000000" w:sz="4" w:space="0"/>
            </w:tcBorders>
            <w:vAlign w:val="center"/>
          </w:tcPr>
          <w:p>
            <w:pPr>
              <w:jc w:val="center"/>
            </w:pPr>
          </w:p>
        </w:tc>
        <w:tc>
          <w:tcPr>
            <w:tcW w:w="1155" w:type="dxa"/>
            <w:tcBorders>
              <w:top w:val="single" w:color="000000" w:sz="4" w:space="0"/>
              <w:left w:val="nil"/>
              <w:bottom w:val="single" w:color="000000" w:sz="4" w:space="0"/>
              <w:right w:val="single" w:color="000000" w:sz="4" w:space="0"/>
            </w:tcBorders>
            <w:vAlign w:val="center"/>
          </w:tcPr>
          <w:p>
            <w:pPr>
              <w:jc w:val="center"/>
            </w:pPr>
          </w:p>
        </w:tc>
        <w:tc>
          <w:tcPr>
            <w:tcW w:w="1185" w:type="dxa"/>
            <w:tcBorders>
              <w:top w:val="single" w:color="000000" w:sz="4" w:space="0"/>
              <w:left w:val="nil"/>
              <w:bottom w:val="single" w:color="000000" w:sz="4" w:space="0"/>
              <w:right w:val="single" w:color="000000" w:sz="4" w:space="0"/>
            </w:tcBorders>
            <w:vAlign w:val="center"/>
          </w:tcPr>
          <w:p>
            <w:pPr>
              <w:jc w:val="center"/>
            </w:pPr>
          </w:p>
        </w:tc>
        <w:tc>
          <w:tcPr>
            <w:tcW w:w="1020" w:type="dxa"/>
            <w:tcBorders>
              <w:top w:val="single" w:color="000000" w:sz="4" w:space="0"/>
              <w:left w:val="nil"/>
              <w:bottom w:val="single" w:color="000000" w:sz="4" w:space="0"/>
              <w:right w:val="single" w:color="000000" w:sz="4" w:space="0"/>
            </w:tcBorders>
            <w:vAlign w:val="center"/>
          </w:tcPr>
          <w:p>
            <w:pPr>
              <w:jc w:val="center"/>
            </w:pPr>
          </w:p>
        </w:tc>
        <w:tc>
          <w:tcPr>
            <w:tcW w:w="1096"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5" w:hRule="atLeast"/>
        </w:trPr>
        <w:tc>
          <w:tcPr>
            <w:tcW w:w="1091" w:type="dxa"/>
            <w:tcBorders>
              <w:top w:val="nil"/>
              <w:left w:val="single" w:color="000000" w:sz="4" w:space="0"/>
              <w:right w:val="single" w:color="auto" w:sz="4" w:space="0"/>
            </w:tcBorders>
            <w:vAlign w:val="center"/>
          </w:tcPr>
          <w:p>
            <w:pPr>
              <w:spacing w:line="360" w:lineRule="auto"/>
              <w:jc w:val="center"/>
              <w:rPr>
                <w:rFonts w:ascii="宋体" w:hAnsi="宋体"/>
              </w:rPr>
            </w:pPr>
            <w:r>
              <w:rPr>
                <w:rFonts w:hint="eastAsia" w:ascii="宋体" w:hAnsi="宋体"/>
              </w:rPr>
              <w:t>备注</w:t>
            </w:r>
          </w:p>
        </w:tc>
        <w:tc>
          <w:tcPr>
            <w:tcW w:w="9405" w:type="dxa"/>
            <w:gridSpan w:val="9"/>
            <w:tcBorders>
              <w:top w:val="single" w:color="000000" w:sz="4" w:space="0"/>
              <w:left w:val="nil"/>
              <w:bottom w:val="single" w:color="auto" w:sz="4" w:space="0"/>
              <w:right w:val="single" w:color="000000" w:sz="4" w:space="0"/>
            </w:tcBorders>
            <w:vAlign w:val="center"/>
          </w:tcPr>
          <w:p>
            <w:pPr>
              <w:numPr>
                <w:ilvl w:val="0"/>
                <w:numId w:val="3"/>
              </w:numPr>
              <w:jc w:val="left"/>
              <w:rPr>
                <w:rFonts w:ascii="宋体" w:hAnsi="宋体"/>
              </w:rPr>
            </w:pPr>
            <w:r>
              <w:rPr>
                <w:rFonts w:hint="eastAsia" w:ascii="宋体" w:hAnsi="宋体"/>
              </w:rPr>
              <w:t>上述单价为（不含铝锭价格）含运输费、包装费、利润、税金、生产加工费等其它应发生的一切费用。</w:t>
            </w:r>
          </w:p>
          <w:p>
            <w:pPr>
              <w:numPr>
                <w:ilvl w:val="0"/>
                <w:numId w:val="3"/>
              </w:numPr>
              <w:jc w:val="left"/>
              <w:rPr>
                <w:rFonts w:ascii="宋体" w:hAnsi="宋体"/>
              </w:rPr>
            </w:pPr>
            <w:r>
              <w:rPr>
                <w:rFonts w:hint="eastAsia" w:ascii="宋体" w:hAnsi="宋体"/>
              </w:rPr>
              <w:t>铝锭基价确认方式按本招标函件第七条第2点中的要求进行。</w:t>
            </w:r>
          </w:p>
          <w:p>
            <w:pPr>
              <w:numPr>
                <w:ilvl w:val="0"/>
                <w:numId w:val="3"/>
              </w:numPr>
              <w:jc w:val="left"/>
              <w:rPr>
                <w:rFonts w:ascii="宋体" w:hAnsi="宋体"/>
              </w:rPr>
            </w:pPr>
            <w:r>
              <w:rPr>
                <w:rFonts w:hint="eastAsia" w:ascii="宋体" w:hAnsi="宋体"/>
              </w:rPr>
              <w:t>以上价格为</w:t>
            </w:r>
            <w:r>
              <w:rPr>
                <w:rFonts w:hint="eastAsia"/>
              </w:rPr>
              <w:t>1100H24/H14</w:t>
            </w:r>
            <w:r>
              <w:rPr>
                <w:rFonts w:hint="eastAsia" w:ascii="宋体" w:hAnsi="宋体"/>
              </w:rPr>
              <w:t>的报价。若改用以下铝板，则按下述价格进行调整。</w:t>
            </w:r>
          </w:p>
          <w:p>
            <w:pPr>
              <w:jc w:val="left"/>
              <w:rPr>
                <w:rFonts w:ascii="宋体" w:hAnsi="宋体"/>
              </w:rPr>
            </w:pPr>
            <w:r>
              <w:rPr>
                <w:rFonts w:hint="eastAsia" w:ascii="宋体" w:hAnsi="宋体"/>
              </w:rPr>
              <w:t>①材质加价：</w:t>
            </w:r>
            <w:r>
              <w:rPr>
                <w:rFonts w:hint="eastAsia"/>
              </w:rPr>
              <w:t>3003H24/H14</w:t>
            </w:r>
            <w:r>
              <w:rPr>
                <w:rFonts w:hint="eastAsia" w:ascii="宋体" w:hAnsi="宋体"/>
              </w:rPr>
              <w:t>在上述报价上加</w:t>
            </w:r>
            <w:r>
              <w:rPr>
                <w:rFonts w:hint="eastAsia" w:ascii="宋体" w:hAnsi="宋体"/>
                <w:u w:val="single"/>
              </w:rPr>
              <w:t xml:space="preserve">***** </w:t>
            </w:r>
            <w:r>
              <w:rPr>
                <w:rFonts w:hint="eastAsia" w:ascii="宋体" w:hAnsi="宋体"/>
              </w:rPr>
              <w:t>元</w:t>
            </w:r>
            <w:r>
              <w:rPr>
                <w:rFonts w:hint="eastAsia"/>
              </w:rPr>
              <w:t>/</w:t>
            </w:r>
            <w:r>
              <w:rPr>
                <w:rFonts w:hint="eastAsia" w:ascii="宋体" w:hAnsi="宋体"/>
              </w:rPr>
              <w:t>吨。</w:t>
            </w:r>
          </w:p>
          <w:p>
            <w:pPr>
              <w:jc w:val="left"/>
              <w:rPr>
                <w:rFonts w:ascii="宋体" w:hAnsi="宋体"/>
              </w:rPr>
            </w:pPr>
            <w:r>
              <w:rPr>
                <w:rFonts w:hint="eastAsia" w:ascii="宋体" w:hAnsi="宋体"/>
              </w:rPr>
              <w:t>②板厚加价：1.0mm以下厚度加价</w:t>
            </w:r>
            <w:r>
              <w:rPr>
                <w:rFonts w:hint="eastAsia" w:ascii="宋体" w:hAnsi="宋体"/>
                <w:u w:val="single"/>
              </w:rPr>
              <w:t>*****</w:t>
            </w:r>
            <w:r>
              <w:rPr>
                <w:rFonts w:hint="eastAsia" w:ascii="宋体" w:hAnsi="宋体"/>
              </w:rPr>
              <w:t>元/吨，4.0mm＜板厚≤6.0mm厚度加价</w:t>
            </w:r>
            <w:r>
              <w:rPr>
                <w:rFonts w:hint="eastAsia" w:ascii="宋体" w:hAnsi="宋体"/>
                <w:u w:val="single"/>
              </w:rPr>
              <w:t>*****</w:t>
            </w:r>
            <w:r>
              <w:rPr>
                <w:rFonts w:hint="eastAsia" w:ascii="宋体" w:hAnsi="宋体"/>
              </w:rPr>
              <w:t>元/吨，6.0＜板厚≤</w:t>
            </w:r>
            <w:r>
              <w:rPr>
                <w:rFonts w:hint="eastAsia" w:ascii="宋体" w:hAnsi="宋体"/>
                <w:lang w:val="en-US" w:eastAsia="zh-CN"/>
              </w:rPr>
              <w:t>1</w:t>
            </w:r>
            <w:bookmarkStart w:id="0" w:name="_GoBack"/>
            <w:bookmarkEnd w:id="0"/>
            <w:r>
              <w:rPr>
                <w:rFonts w:hint="eastAsia" w:ascii="宋体" w:hAnsi="宋体"/>
              </w:rPr>
              <w:t>0mm厚度加价</w:t>
            </w:r>
            <w:r>
              <w:rPr>
                <w:rFonts w:hint="eastAsia" w:ascii="宋体" w:hAnsi="宋体"/>
                <w:u w:val="single"/>
              </w:rPr>
              <w:t>*****</w:t>
            </w:r>
            <w:r>
              <w:rPr>
                <w:rFonts w:hint="eastAsia" w:ascii="宋体" w:hAnsi="宋体"/>
              </w:rPr>
              <w:t>元/吨。</w:t>
            </w:r>
          </w:p>
          <w:p>
            <w:pPr>
              <w:jc w:val="left"/>
              <w:rPr>
                <w:rFonts w:ascii="宋体" w:hAnsi="宋体"/>
              </w:rPr>
            </w:pPr>
            <w:r>
              <w:rPr>
                <w:rFonts w:hint="eastAsia" w:ascii="宋体" w:hAnsi="宋体"/>
              </w:rPr>
              <w:t>③长度加价：超6米（不含6米）加价</w:t>
            </w:r>
            <w:r>
              <w:rPr>
                <w:rFonts w:hint="eastAsia" w:ascii="宋体" w:hAnsi="宋体"/>
                <w:u w:val="single"/>
              </w:rPr>
              <w:t>*****</w:t>
            </w:r>
            <w:r>
              <w:rPr>
                <w:rFonts w:hint="eastAsia" w:ascii="宋体" w:hAnsi="宋体"/>
              </w:rPr>
              <w:t>元/吨。</w:t>
            </w:r>
          </w:p>
          <w:p>
            <w:pPr>
              <w:jc w:val="left"/>
              <w:rPr>
                <w:rFonts w:ascii="宋体" w:hAnsi="宋体"/>
              </w:rPr>
            </w:pPr>
            <w:r>
              <w:rPr>
                <w:rFonts w:hint="eastAsia" w:ascii="宋体" w:hAnsi="宋体"/>
              </w:rPr>
              <w:t>④若改订铝卷，铝卷价格在上述报价上减</w:t>
            </w:r>
            <w:r>
              <w:rPr>
                <w:rFonts w:hint="eastAsia" w:ascii="宋体" w:hAnsi="宋体"/>
                <w:u w:val="single"/>
              </w:rPr>
              <w:t>****</w:t>
            </w:r>
            <w:r>
              <w:rPr>
                <w:rFonts w:hint="eastAsia" w:ascii="宋体" w:hAnsi="宋体"/>
              </w:rPr>
              <w:t>元</w:t>
            </w:r>
            <w:r>
              <w:rPr>
                <w:rFonts w:hint="eastAsia"/>
              </w:rPr>
              <w:t>/</w:t>
            </w:r>
            <w:r>
              <w:rPr>
                <w:rFonts w:hint="eastAsia" w:ascii="宋体" w:hAnsi="宋体"/>
              </w:rPr>
              <w:t>吨。</w:t>
            </w:r>
          </w:p>
          <w:p>
            <w:pPr>
              <w:numPr>
                <w:ilvl w:val="0"/>
                <w:numId w:val="0"/>
              </w:numPr>
              <w:jc w:val="left"/>
              <w:rPr>
                <w:rFonts w:hint="eastAsia" w:ascii="宋体" w:cs="宋体"/>
                <w:lang w:val="zh-CN"/>
              </w:rPr>
            </w:pPr>
            <w:r>
              <w:rPr>
                <w:rFonts w:hint="eastAsia" w:ascii="宋体" w:cs="宋体"/>
                <w:lang w:val="zh-CN"/>
              </w:rPr>
              <w:t>合同履行过程中，遇国家税率发生变化，则合同约定的税金、含税单价和合同金额应按调整后税率进行变更,</w:t>
            </w:r>
            <w:r>
              <w:rPr>
                <w:rFonts w:hint="eastAsia" w:ascii="宋体" w:hAnsi="宋体"/>
              </w:rPr>
              <w:t>不含税价格不变</w:t>
            </w:r>
            <w:r>
              <w:rPr>
                <w:rFonts w:hint="eastAsia" w:ascii="宋体" w:cs="宋体"/>
                <w:lang w:val="zh-CN"/>
              </w:rPr>
              <w:t>。合同期内不得以任何形式变更加工费或以各种理由延迟交货。</w:t>
            </w:r>
          </w:p>
        </w:tc>
      </w:tr>
    </w:tbl>
    <w:p>
      <w:pPr>
        <w:rPr>
          <w:rFonts w:ascii="宋体" w:hAnsi="宋体"/>
          <w:b/>
          <w:bCs/>
          <w:sz w:val="24"/>
          <w:szCs w:val="24"/>
        </w:rPr>
      </w:pPr>
      <w:r>
        <w:rPr>
          <w:rFonts w:hint="eastAsia" w:ascii="宋体" w:hAnsi="宋体"/>
          <w:sz w:val="24"/>
          <w:szCs w:val="24"/>
        </w:rPr>
        <w:t xml:space="preserve"> </w:t>
      </w:r>
    </w:p>
    <w:p>
      <w:pPr>
        <w:rPr>
          <w:rFonts w:ascii="宋体" w:hAnsi="宋体"/>
          <w:b/>
          <w:bCs/>
          <w:sz w:val="24"/>
          <w:szCs w:val="24"/>
        </w:rPr>
      </w:pPr>
      <w:r>
        <w:rPr>
          <w:rFonts w:hint="eastAsia" w:ascii="宋体" w:hAnsi="宋体"/>
          <w:b/>
          <w:bCs/>
          <w:sz w:val="24"/>
          <w:szCs w:val="24"/>
        </w:rPr>
        <w:t xml:space="preserve">  特此报价，合作愉快！</w:t>
      </w:r>
    </w:p>
    <w:p>
      <w:pPr>
        <w:rPr>
          <w:rFonts w:ascii="宋体" w:hAnsi="宋体"/>
          <w:b/>
          <w:bCs/>
          <w:sz w:val="24"/>
          <w:szCs w:val="24"/>
        </w:rPr>
      </w:pPr>
    </w:p>
    <w:p>
      <w:pPr>
        <w:rPr>
          <w:rFonts w:ascii="宋体" w:hAnsi="宋体"/>
          <w:b/>
          <w:bCs/>
          <w:sz w:val="24"/>
          <w:szCs w:val="24"/>
        </w:rPr>
      </w:pPr>
    </w:p>
    <w:p>
      <w:pPr>
        <w:spacing w:line="360" w:lineRule="auto"/>
        <w:ind w:firstLine="4096" w:firstLineChars="1700"/>
        <w:rPr>
          <w:rFonts w:ascii="宋体" w:hAnsi="宋体"/>
          <w:b/>
          <w:bCs/>
          <w:sz w:val="24"/>
          <w:szCs w:val="24"/>
        </w:rPr>
      </w:pPr>
      <w:r>
        <w:rPr>
          <w:rFonts w:hint="eastAsia" w:ascii="宋体" w:hAnsi="宋体"/>
          <w:b/>
          <w:bCs/>
          <w:sz w:val="24"/>
          <w:szCs w:val="24"/>
        </w:rPr>
        <w:t>单位名称（盖章）：************</w:t>
      </w:r>
    </w:p>
    <w:p>
      <w:pPr>
        <w:spacing w:line="360" w:lineRule="auto"/>
        <w:ind w:firstLine="6385" w:firstLineChars="2650"/>
        <w:rPr>
          <w:rFonts w:ascii="宋体" w:hAnsi="宋体"/>
          <w:b/>
          <w:bCs/>
          <w:sz w:val="24"/>
          <w:szCs w:val="24"/>
        </w:rPr>
      </w:pPr>
      <w:r>
        <w:rPr>
          <w:rFonts w:hint="eastAsia" w:ascii="宋体" w:hAnsi="宋体"/>
          <w:b/>
          <w:bCs/>
          <w:sz w:val="24"/>
          <w:szCs w:val="24"/>
        </w:rPr>
        <w:t>年   月   日</w:t>
      </w:r>
    </w:p>
    <w:p>
      <w:pPr>
        <w:rPr>
          <w:rFonts w:hint="eastAsia" w:ascii="宋体" w:hAnsi="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附件三</w:t>
      </w:r>
    </w:p>
    <w:p>
      <w:pPr>
        <w:keepNext w:val="0"/>
        <w:keepLines w:val="0"/>
        <w:pageBreakBefore w:val="0"/>
        <w:widowControl w:val="0"/>
        <w:kinsoku/>
        <w:wordWrap/>
        <w:overflowPunct/>
        <w:topLinePunct w:val="0"/>
        <w:autoSpaceDE/>
        <w:autoSpaceDN/>
        <w:bidi w:val="0"/>
        <w:adjustRightInd/>
        <w:snapToGrid/>
        <w:spacing w:line="360" w:lineRule="auto"/>
        <w:ind w:right="-57" w:rightChars="-27"/>
        <w:jc w:val="center"/>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投标廉洁承诺书</w:t>
      </w:r>
    </w:p>
    <w:p>
      <w:pPr>
        <w:keepNext w:val="0"/>
        <w:keepLines w:val="0"/>
        <w:pageBreakBefore w:val="0"/>
        <w:widowControl w:val="0"/>
        <w:kinsoku/>
        <w:wordWrap/>
        <w:overflowPunct/>
        <w:topLinePunct w:val="0"/>
        <w:autoSpaceDE/>
        <w:autoSpaceDN/>
        <w:bidi w:val="0"/>
        <w:adjustRightInd/>
        <w:snapToGrid/>
        <w:spacing w:line="360" w:lineRule="auto"/>
        <w:ind w:right="945"/>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945"/>
        <w:textAlignment w:val="auto"/>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致：</w:t>
      </w:r>
      <w:r>
        <w:rPr>
          <w:rFonts w:hint="eastAsia" w:asciiTheme="minorEastAsia" w:hAnsiTheme="minorEastAsia" w:eastAsiaTheme="minorEastAsia" w:cstheme="minorEastAsia"/>
          <w:sz w:val="28"/>
          <w:szCs w:val="28"/>
          <w:u w:val="single"/>
        </w:rPr>
        <w:t xml:space="preserve"> 方大新材料（江西）有限公司  </w:t>
      </w:r>
    </w:p>
    <w:p>
      <w:pPr>
        <w:keepNext w:val="0"/>
        <w:keepLines w:val="0"/>
        <w:pageBreakBefore w:val="0"/>
        <w:widowControl w:val="0"/>
        <w:kinsoku/>
        <w:wordWrap/>
        <w:overflowPunct/>
        <w:topLinePunct w:val="0"/>
        <w:autoSpaceDE/>
        <w:autoSpaceDN/>
        <w:bidi w:val="0"/>
        <w:adjustRightInd/>
        <w:snapToGrid/>
        <w:spacing w:line="360" w:lineRule="auto"/>
        <w:ind w:right="-57" w:rightChars="-27" w:firstLine="63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本公司就参加</w:t>
      </w:r>
      <w:r>
        <w:rPr>
          <w:rFonts w:hint="eastAsia" w:asciiTheme="minorEastAsia" w:hAnsiTheme="minorEastAsia" w:eastAsiaTheme="minorEastAsia" w:cstheme="minorEastAsia"/>
          <w:sz w:val="28"/>
          <w:szCs w:val="28"/>
          <w:u w:val="single"/>
        </w:rPr>
        <w:t xml:space="preserve">   202</w:t>
      </w:r>
      <w:r>
        <w:rPr>
          <w:rFonts w:hint="eastAsia" w:asciiTheme="minorEastAsia" w:hAnsiTheme="minorEastAsia" w:eastAsiaTheme="minorEastAsia" w:cstheme="minorEastAsia"/>
          <w:sz w:val="28"/>
          <w:szCs w:val="28"/>
          <w:u w:val="single"/>
          <w:lang w:val="en-US" w:eastAsia="zh-CN"/>
        </w:rPr>
        <w:t>3</w:t>
      </w:r>
      <w:r>
        <w:rPr>
          <w:rFonts w:hint="eastAsia" w:asciiTheme="minorEastAsia" w:hAnsiTheme="minorEastAsia" w:eastAsiaTheme="minorEastAsia" w:cstheme="minorEastAsia"/>
          <w:sz w:val="28"/>
          <w:szCs w:val="28"/>
          <w:u w:val="single"/>
        </w:rPr>
        <w:t>-202</w:t>
      </w:r>
      <w:r>
        <w:rPr>
          <w:rFonts w:hint="eastAsia" w:asciiTheme="minorEastAsia" w:hAnsiTheme="minorEastAsia" w:eastAsiaTheme="minorEastAsia" w:cstheme="minorEastAsia"/>
          <w:sz w:val="28"/>
          <w:szCs w:val="28"/>
          <w:u w:val="single"/>
          <w:lang w:val="en-US" w:eastAsia="zh-CN"/>
        </w:rPr>
        <w:t>4</w:t>
      </w:r>
      <w:r>
        <w:rPr>
          <w:rFonts w:hint="eastAsia" w:asciiTheme="minorEastAsia" w:hAnsiTheme="minorEastAsia" w:eastAsiaTheme="minorEastAsia" w:cstheme="minorEastAsia"/>
          <w:sz w:val="28"/>
          <w:szCs w:val="28"/>
          <w:u w:val="single"/>
        </w:rPr>
        <w:t xml:space="preserve">年度铝板购销  </w:t>
      </w:r>
      <w:r>
        <w:rPr>
          <w:rFonts w:hint="eastAsia" w:asciiTheme="minorEastAsia" w:hAnsiTheme="minorEastAsia" w:eastAsiaTheme="minorEastAsia" w:cstheme="minorEastAsia"/>
          <w:sz w:val="28"/>
          <w:szCs w:val="28"/>
        </w:rPr>
        <w:t>投标工作，郑重作出如下承诺：</w:t>
      </w:r>
    </w:p>
    <w:p>
      <w:pPr>
        <w:keepNext w:val="0"/>
        <w:keepLines w:val="0"/>
        <w:pageBreakBefore w:val="0"/>
        <w:widowControl w:val="0"/>
        <w:kinsoku/>
        <w:wordWrap/>
        <w:overflowPunct/>
        <w:topLinePunct w:val="0"/>
        <w:autoSpaceDE/>
        <w:autoSpaceDN/>
        <w:bidi w:val="0"/>
        <w:adjustRightInd/>
        <w:snapToGrid/>
        <w:spacing w:line="360" w:lineRule="auto"/>
        <w:ind w:right="-57" w:rightChars="-27" w:firstLine="63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公司已经充分阅读并清楚理解招标要求，我司参加投标所提供的报名材料是真实、合法的。如有机会成为正式投标人，我公司保证不与其他投标单位围标、串标，不出让投标资格，不向招标人、评标小组成员行贿和私下联系，同时不出现其他不廉洁行为。如有违反上述承诺，本公司愿意接受没收投标保证金处罚，并承担相关的法律责任。如果中标，本公司愿意向贵公司出具《诚信廉洁承诺书》。</w:t>
      </w:r>
    </w:p>
    <w:p>
      <w:pPr>
        <w:keepNext w:val="0"/>
        <w:keepLines w:val="0"/>
        <w:pageBreakBefore w:val="0"/>
        <w:widowControl w:val="0"/>
        <w:kinsoku/>
        <w:wordWrap/>
        <w:overflowPunct/>
        <w:topLinePunct w:val="0"/>
        <w:autoSpaceDE/>
        <w:autoSpaceDN/>
        <w:bidi w:val="0"/>
        <w:adjustRightInd/>
        <w:snapToGrid/>
        <w:spacing w:line="360" w:lineRule="auto"/>
        <w:ind w:right="-57" w:rightChars="-27" w:firstLine="63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特此承诺！</w:t>
      </w:r>
    </w:p>
    <w:p>
      <w:pPr>
        <w:keepNext w:val="0"/>
        <w:keepLines w:val="0"/>
        <w:pageBreakBefore w:val="0"/>
        <w:widowControl w:val="0"/>
        <w:kinsoku/>
        <w:wordWrap/>
        <w:overflowPunct/>
        <w:topLinePunct w:val="0"/>
        <w:autoSpaceDE/>
        <w:autoSpaceDN/>
        <w:bidi w:val="0"/>
        <w:adjustRightInd/>
        <w:snapToGrid/>
        <w:spacing w:line="360" w:lineRule="auto"/>
        <w:ind w:right="-57" w:rightChars="-27" w:firstLine="630"/>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57" w:rightChars="-27" w:firstLine="63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承诺人：（盖章）</w:t>
      </w:r>
    </w:p>
    <w:p>
      <w:pPr>
        <w:keepNext w:val="0"/>
        <w:keepLines w:val="0"/>
        <w:pageBreakBefore w:val="0"/>
        <w:widowControl w:val="0"/>
        <w:kinsoku/>
        <w:wordWrap/>
        <w:overflowPunct/>
        <w:topLinePunct w:val="0"/>
        <w:autoSpaceDE/>
        <w:autoSpaceDN/>
        <w:bidi w:val="0"/>
        <w:adjustRightInd/>
        <w:snapToGrid/>
        <w:spacing w:line="360" w:lineRule="auto"/>
        <w:ind w:right="-57" w:rightChars="-27" w:firstLine="63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法人签字：</w:t>
      </w:r>
    </w:p>
    <w:p>
      <w:pPr>
        <w:keepNext w:val="0"/>
        <w:keepLines w:val="0"/>
        <w:pageBreakBefore w:val="0"/>
        <w:widowControl w:val="0"/>
        <w:kinsoku/>
        <w:wordWrap/>
        <w:overflowPunct/>
        <w:topLinePunct w:val="0"/>
        <w:autoSpaceDE/>
        <w:autoSpaceDN/>
        <w:bidi w:val="0"/>
        <w:adjustRightInd/>
        <w:snapToGrid/>
        <w:spacing w:line="360" w:lineRule="auto"/>
        <w:ind w:right="-57" w:rightChars="-2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日期：   年   月    日 </w:t>
      </w:r>
    </w:p>
    <w:p>
      <w:pPr>
        <w:keepNext w:val="0"/>
        <w:keepLines w:val="0"/>
        <w:pageBreakBefore w:val="0"/>
        <w:widowControl w:val="0"/>
        <w:kinsoku/>
        <w:wordWrap/>
        <w:overflowPunct/>
        <w:topLinePunct w:val="0"/>
        <w:autoSpaceDE/>
        <w:autoSpaceDN/>
        <w:bidi w:val="0"/>
        <w:adjustRightInd/>
        <w:snapToGrid/>
        <w:spacing w:line="360" w:lineRule="auto"/>
        <w:ind w:right="-57" w:rightChars="-27"/>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57" w:rightChars="-2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方大集团举报投诉电话：0755-26788571-5515</w:t>
      </w:r>
    </w:p>
    <w:p>
      <w:pPr>
        <w:rPr>
          <w:rFonts w:ascii="宋体" w:hAnsi="宋体"/>
          <w:sz w:val="30"/>
          <w:szCs w:val="30"/>
        </w:rPr>
      </w:pPr>
    </w:p>
    <w:p>
      <w:pPr>
        <w:rPr>
          <w:rFonts w:ascii="宋体" w:hAnsi="宋体"/>
          <w:b/>
          <w:bCs/>
          <w:sz w:val="24"/>
          <w:szCs w:val="24"/>
        </w:rPr>
      </w:pPr>
    </w:p>
    <w:p>
      <w:pPr>
        <w:rPr>
          <w:rFonts w:ascii="宋体" w:hAnsi="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rPr>
      </w:pPr>
      <w:r>
        <w:rPr>
          <w:rFonts w:hint="eastAsia" w:ascii="宋体" w:hAnsi="宋体"/>
          <w:b/>
          <w:bCs/>
          <w:sz w:val="24"/>
          <w:szCs w:val="24"/>
        </w:rPr>
        <w:t xml:space="preserve"> </w:t>
      </w:r>
      <w:r>
        <w:rPr>
          <w:rFonts w:hint="eastAsia" w:asciiTheme="minorEastAsia" w:hAnsiTheme="minorEastAsia" w:eastAsiaTheme="minorEastAsia" w:cstheme="minorEastAsia"/>
          <w:b/>
          <w:bCs/>
          <w:sz w:val="28"/>
          <w:szCs w:val="28"/>
        </w:rPr>
        <w:t>附件四</w:t>
      </w:r>
    </w:p>
    <w:p>
      <w:pPr>
        <w:keepNext w:val="0"/>
        <w:keepLines w:val="0"/>
        <w:pageBreakBefore w:val="0"/>
        <w:widowControl w:val="0"/>
        <w:kinsoku/>
        <w:wordWrap/>
        <w:overflowPunct/>
        <w:topLinePunct w:val="0"/>
        <w:autoSpaceDE/>
        <w:autoSpaceDN/>
        <w:bidi w:val="0"/>
        <w:adjustRightInd/>
        <w:snapToGrid/>
        <w:spacing w:line="360" w:lineRule="auto"/>
        <w:ind w:right="-57" w:rightChars="-27"/>
        <w:jc w:val="center"/>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诚信廉洁承诺书</w:t>
      </w:r>
    </w:p>
    <w:p>
      <w:pPr>
        <w:keepNext w:val="0"/>
        <w:keepLines w:val="0"/>
        <w:pageBreakBefore w:val="0"/>
        <w:widowControl w:val="0"/>
        <w:kinsoku/>
        <w:wordWrap/>
        <w:overflowPunct/>
        <w:topLinePunct w:val="0"/>
        <w:autoSpaceDE/>
        <w:autoSpaceDN/>
        <w:bidi w:val="0"/>
        <w:adjustRightInd/>
        <w:snapToGrid/>
        <w:spacing w:line="360" w:lineRule="auto"/>
        <w:ind w:right="-57" w:rightChars="-27"/>
        <w:jc w:val="center"/>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57" w:rightChars="-2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致：</w:t>
      </w:r>
      <w:r>
        <w:rPr>
          <w:rFonts w:hint="eastAsia" w:asciiTheme="minorEastAsia" w:hAnsiTheme="minorEastAsia" w:eastAsiaTheme="minorEastAsia" w:cstheme="minorEastAsia"/>
          <w:sz w:val="28"/>
          <w:szCs w:val="28"/>
          <w:u w:val="single"/>
        </w:rPr>
        <w:t xml:space="preserve">  方大新材料（江西）有限公司  </w:t>
      </w:r>
    </w:p>
    <w:p>
      <w:pPr>
        <w:keepNext w:val="0"/>
        <w:keepLines w:val="0"/>
        <w:pageBreakBefore w:val="0"/>
        <w:widowControl w:val="0"/>
        <w:kinsoku/>
        <w:wordWrap/>
        <w:overflowPunct/>
        <w:topLinePunct w:val="0"/>
        <w:autoSpaceDE/>
        <w:autoSpaceDN/>
        <w:bidi w:val="0"/>
        <w:adjustRightInd/>
        <w:snapToGrid/>
        <w:spacing w:line="360" w:lineRule="auto"/>
        <w:ind w:right="-57" w:rightChars="-27" w:firstLine="565" w:firstLineChars="20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我司作为贵司的长期合作供应商，现对合作期间作出以下郑重承诺。若有违背，我司愿无条件向贵司支付叁拾万元的罚款，并赔偿损失和承担相应的法律责任。</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right="-57" w:rightChars="-27" w:firstLine="565" w:firstLineChars="20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不提供伪劣假冒产品，不弄虚作假、以次充好。</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right="-57" w:rightChars="-27" w:firstLine="565" w:firstLineChars="20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所提供的产品（服务）价格不高于同类产品（服务）的市场价格。</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right="-57" w:rightChars="-27" w:firstLine="565" w:firstLineChars="20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不贿赂贵司工作人员（包括但不限于礼金、回扣、佣金等），不与贵司工作人员串通舞弊。</w:t>
      </w:r>
    </w:p>
    <w:p>
      <w:pPr>
        <w:pStyle w:val="9"/>
        <w:keepNext w:val="0"/>
        <w:keepLines w:val="0"/>
        <w:pageBreakBefore w:val="0"/>
        <w:widowControl w:val="0"/>
        <w:kinsoku/>
        <w:wordWrap/>
        <w:overflowPunct/>
        <w:topLinePunct w:val="0"/>
        <w:autoSpaceDE/>
        <w:autoSpaceDN/>
        <w:bidi w:val="0"/>
        <w:adjustRightInd/>
        <w:snapToGrid/>
        <w:spacing w:line="360" w:lineRule="auto"/>
        <w:ind w:right="-57" w:rightChars="-27" w:firstLine="565" w:firstLineChars="20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4、贵司工作人员如向我司索取宴请、娱乐及其他贿赂（包括但不限于礼金、回扣、佣金等），我司将予以拒绝，并及时向贵司投诉。</w:t>
      </w:r>
    </w:p>
    <w:p>
      <w:pPr>
        <w:pStyle w:val="9"/>
        <w:keepNext w:val="0"/>
        <w:keepLines w:val="0"/>
        <w:pageBreakBefore w:val="0"/>
        <w:widowControl w:val="0"/>
        <w:kinsoku/>
        <w:wordWrap/>
        <w:overflowPunct/>
        <w:topLinePunct w:val="0"/>
        <w:autoSpaceDE/>
        <w:autoSpaceDN/>
        <w:bidi w:val="0"/>
        <w:adjustRightInd/>
        <w:snapToGrid/>
        <w:spacing w:line="360" w:lineRule="auto"/>
        <w:ind w:right="-57" w:rightChars="-27" w:firstLine="565" w:firstLineChars="20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5、本承诺书在我司与贵司合作期间存续有效。</w:t>
      </w:r>
    </w:p>
    <w:p>
      <w:pPr>
        <w:pStyle w:val="9"/>
        <w:keepNext w:val="0"/>
        <w:keepLines w:val="0"/>
        <w:pageBreakBefore w:val="0"/>
        <w:widowControl w:val="0"/>
        <w:kinsoku/>
        <w:wordWrap/>
        <w:overflowPunct/>
        <w:topLinePunct w:val="0"/>
        <w:autoSpaceDE/>
        <w:autoSpaceDN/>
        <w:bidi w:val="0"/>
        <w:adjustRightInd/>
        <w:snapToGrid/>
        <w:spacing w:line="360" w:lineRule="auto"/>
        <w:ind w:left="360" w:right="-57" w:rightChars="-27" w:firstLine="565" w:firstLineChars="202"/>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承诺单位盖章：</w:t>
      </w:r>
    </w:p>
    <w:p>
      <w:pPr>
        <w:pStyle w:val="9"/>
        <w:keepNext w:val="0"/>
        <w:keepLines w:val="0"/>
        <w:pageBreakBefore w:val="0"/>
        <w:widowControl w:val="0"/>
        <w:kinsoku/>
        <w:wordWrap/>
        <w:overflowPunct/>
        <w:topLinePunct w:val="0"/>
        <w:autoSpaceDE/>
        <w:autoSpaceDN/>
        <w:bidi w:val="0"/>
        <w:adjustRightInd/>
        <w:snapToGrid/>
        <w:spacing w:line="360" w:lineRule="auto"/>
        <w:ind w:left="360" w:right="-57" w:rightChars="-27" w:firstLine="565" w:firstLineChars="202"/>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法人签字：</w:t>
      </w:r>
    </w:p>
    <w:p>
      <w:pPr>
        <w:pStyle w:val="9"/>
        <w:keepNext w:val="0"/>
        <w:keepLines w:val="0"/>
        <w:pageBreakBefore w:val="0"/>
        <w:widowControl w:val="0"/>
        <w:kinsoku/>
        <w:wordWrap/>
        <w:overflowPunct/>
        <w:topLinePunct w:val="0"/>
        <w:autoSpaceDE/>
        <w:autoSpaceDN/>
        <w:bidi w:val="0"/>
        <w:adjustRightInd/>
        <w:snapToGrid/>
        <w:spacing w:line="360" w:lineRule="auto"/>
        <w:ind w:left="360" w:right="-57" w:rightChars="-27" w:firstLine="565" w:firstLineChars="202"/>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日期： </w:t>
      </w:r>
    </w:p>
    <w:p>
      <w:pPr>
        <w:pStyle w:val="9"/>
        <w:keepNext w:val="0"/>
        <w:keepLines w:val="0"/>
        <w:pageBreakBefore w:val="0"/>
        <w:widowControl w:val="0"/>
        <w:kinsoku/>
        <w:wordWrap/>
        <w:overflowPunct/>
        <w:topLinePunct w:val="0"/>
        <w:autoSpaceDE/>
        <w:autoSpaceDN/>
        <w:bidi w:val="0"/>
        <w:adjustRightInd/>
        <w:snapToGrid/>
        <w:spacing w:line="360" w:lineRule="auto"/>
        <w:ind w:left="360" w:right="-57" w:rightChars="-27" w:firstLine="565" w:firstLineChars="202"/>
        <w:jc w:val="center"/>
        <w:textAlignment w:val="auto"/>
        <w:rPr>
          <w:sz w:val="28"/>
          <w:szCs w:val="28"/>
        </w:rPr>
      </w:pPr>
      <w:r>
        <w:rPr>
          <w:rFonts w:hint="eastAsia" w:asciiTheme="minorEastAsia" w:hAnsiTheme="minorEastAsia" w:eastAsiaTheme="minorEastAsia" w:cstheme="minorEastAsia"/>
          <w:sz w:val="28"/>
          <w:szCs w:val="28"/>
        </w:rPr>
        <w:t>集团举报投诉电话：0755-26788571-5515</w:t>
      </w:r>
    </w:p>
    <w:p>
      <w:pPr>
        <w:rPr>
          <w:rFonts w:hint="eastAsia" w:asciiTheme="minorEastAsia" w:hAnsiTheme="minorEastAsia" w:eastAsiaTheme="minorEastAsia" w:cstheme="minorEastAsia"/>
          <w:b/>
          <w:bCs/>
          <w:sz w:val="28"/>
          <w:szCs w:val="28"/>
        </w:rPr>
      </w:pPr>
      <w:r>
        <w:rPr>
          <w:rFonts w:hint="eastAsia" w:ascii="宋体" w:hAnsi="宋体"/>
          <w:b/>
          <w:bCs/>
          <w:sz w:val="24"/>
          <w:szCs w:val="24"/>
        </w:rPr>
        <w:t xml:space="preserve">  </w:t>
      </w:r>
      <w:r>
        <w:rPr>
          <w:rFonts w:hint="eastAsia" w:asciiTheme="minorEastAsia" w:hAnsiTheme="minorEastAsia" w:eastAsiaTheme="minorEastAsia" w:cstheme="minorEastAsia"/>
          <w:b/>
          <w:bCs/>
          <w:sz w:val="28"/>
          <w:szCs w:val="28"/>
        </w:rPr>
        <w:t>附件五：</w:t>
      </w: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供方情况调查表</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t>版次：B/0</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t>QR7.4.1-01</w:t>
      </w:r>
    </w:p>
    <w:tbl>
      <w:tblPr>
        <w:tblStyle w:val="6"/>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600"/>
        <w:gridCol w:w="1460"/>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所供物资名称：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b/>
                <w:bCs/>
                <w:sz w:val="24"/>
                <w:szCs w:val="24"/>
              </w:rPr>
            </w:pPr>
            <w:r>
              <w:rPr>
                <w:rFonts w:hint="eastAsia" w:ascii="宋体" w:hAnsi="宋体"/>
                <w:b/>
                <w:bCs/>
                <w:sz w:val="24"/>
                <w:szCs w:val="24"/>
              </w:rPr>
              <w:t>一、公司概况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供方名称：                                             （加盖公章）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48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公司性质：</w:t>
            </w:r>
          </w:p>
        </w:tc>
        <w:tc>
          <w:tcPr>
            <w:tcW w:w="4140" w:type="dxa"/>
            <w:gridSpan w:val="2"/>
            <w:tcBorders>
              <w:top w:val="single" w:color="auto" w:sz="4" w:space="0"/>
              <w:left w:val="nil"/>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成立时间：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注册资金：                  实收资本额：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员工人数：                  其中技术人员：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供方地址：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供方联络人：                电话：                    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b/>
                <w:bCs/>
                <w:sz w:val="24"/>
                <w:szCs w:val="24"/>
              </w:rPr>
            </w:pPr>
            <w:r>
              <w:rPr>
                <w:rFonts w:hint="eastAsia" w:ascii="宋体" w:hAnsi="宋体"/>
                <w:b/>
                <w:bCs/>
                <w:sz w:val="24"/>
                <w:szCs w:val="24"/>
              </w:rPr>
              <w:t>二、业务概况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6320"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生产方式     计划生产□     定单生产□     混合□</w:t>
            </w:r>
          </w:p>
        </w:tc>
        <w:tc>
          <w:tcPr>
            <w:tcW w:w="2680" w:type="dxa"/>
            <w:tcBorders>
              <w:top w:val="single" w:color="auto" w:sz="4" w:space="0"/>
              <w:left w:val="nil"/>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 xml:space="preserve">自制率      </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4860" w:type="dxa"/>
            <w:gridSpan w:val="2"/>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ascii="宋体" w:hAnsi="宋体"/>
                <w:sz w:val="24"/>
                <w:szCs w:val="24"/>
              </w:rPr>
              <w:t xml:space="preserve">年度平均月产量：             </w:t>
            </w:r>
            <w:r>
              <w:rPr>
                <w:rFonts w:hint="eastAsia"/>
                <w:sz w:val="24"/>
                <w:szCs w:val="24"/>
              </w:rPr>
              <w:t>/</w:t>
            </w:r>
            <w:r>
              <w:rPr>
                <w:rFonts w:hint="eastAsia" w:ascii="宋体" w:hAnsi="宋体"/>
                <w:sz w:val="24"/>
                <w:szCs w:val="24"/>
              </w:rPr>
              <w:t xml:space="preserve">月    </w:t>
            </w:r>
          </w:p>
        </w:tc>
        <w:tc>
          <w:tcPr>
            <w:tcW w:w="4140" w:type="dxa"/>
            <w:gridSpan w:val="2"/>
            <w:tcBorders>
              <w:top w:val="single" w:color="auto" w:sz="4" w:space="0"/>
              <w:left w:val="nil"/>
              <w:bottom w:val="single" w:color="auto" w:sz="4" w:space="0"/>
              <w:right w:val="single" w:color="auto" w:sz="4" w:space="0"/>
            </w:tcBorders>
            <w:vAlign w:val="center"/>
          </w:tcPr>
          <w:p>
            <w:pPr>
              <w:rPr>
                <w:sz w:val="24"/>
                <w:szCs w:val="24"/>
              </w:rPr>
            </w:pPr>
            <w:r>
              <w:rPr>
                <w:rFonts w:hint="eastAsia" w:ascii="宋体" w:hAnsi="宋体"/>
                <w:sz w:val="24"/>
                <w:szCs w:val="24"/>
              </w:rPr>
              <w:t>营业额：         万元</w:t>
            </w:r>
            <w:r>
              <w:rPr>
                <w:rFonts w:hint="eastAsia"/>
                <w:sz w:val="24"/>
                <w:szCs w:val="24"/>
              </w:rPr>
              <w:t>/</w:t>
            </w:r>
            <w:r>
              <w:rPr>
                <w:rFonts w:hint="eastAsia" w:ascii="宋体" w:hAnsi="宋体"/>
                <w:sz w:val="24"/>
                <w:szCs w:val="24"/>
              </w:rPr>
              <w:t xml:space="preserve">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主要产品：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260" w:type="dxa"/>
            <w:vMerge w:val="restart"/>
            <w:tcBorders>
              <w:top w:val="nil"/>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主要原材料来源</w:t>
            </w:r>
          </w:p>
        </w:tc>
        <w:tc>
          <w:tcPr>
            <w:tcW w:w="7740" w:type="dxa"/>
            <w:gridSpan w:val="3"/>
            <w:tcBorders>
              <w:top w:val="single" w:color="auto" w:sz="4" w:space="0"/>
              <w:left w:val="nil"/>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品名：             产地：         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2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7740" w:type="dxa"/>
            <w:gridSpan w:val="3"/>
            <w:tcBorders>
              <w:top w:val="single" w:color="auto" w:sz="4" w:space="0"/>
              <w:left w:val="nil"/>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品名：             产地：         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主要客户：</w:t>
            </w:r>
            <w:r>
              <w:rPr>
                <w:rFonts w:hint="eastAsia"/>
                <w:sz w:val="24"/>
                <w:szCs w:val="24"/>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ind w:firstLine="1200"/>
              <w:rPr>
                <w:rFonts w:ascii="宋体" w:hAnsi="宋体"/>
                <w:sz w:val="24"/>
                <w:szCs w:val="24"/>
              </w:rPr>
            </w:pPr>
            <w:r>
              <w:rPr>
                <w:rFonts w:hint="eastAsia" w:ascii="宋体" w:hAnsi="宋体"/>
                <w:sz w:val="24"/>
                <w:szCs w:val="24"/>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b/>
                <w:bCs/>
                <w:sz w:val="24"/>
                <w:szCs w:val="24"/>
              </w:rPr>
              <w:t>三、品质状态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质量体系认证            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 xml:space="preserve">产品合格率：      </w:t>
            </w:r>
            <w:r>
              <w:rPr>
                <w:rFonts w:hint="eastAsia"/>
                <w:sz w:val="24"/>
                <w:szCs w:val="24"/>
              </w:rPr>
              <w:t xml:space="preserve">%                 </w:t>
            </w:r>
            <w:r>
              <w:rPr>
                <w:rFonts w:hint="eastAsia" w:ascii="宋体" w:hAnsi="宋体"/>
                <w:sz w:val="24"/>
                <w:szCs w:val="24"/>
              </w:rPr>
              <w:t xml:space="preserve">产品成品率：       </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产品品质管制流程：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主要检测工具：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产品检验标准：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品管人员文化程度：     本科□      大专□     中专或高中□     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b/>
                <w:bCs/>
                <w:sz w:val="24"/>
                <w:szCs w:val="24"/>
              </w:rPr>
            </w:pPr>
            <w:r>
              <w:rPr>
                <w:rFonts w:hint="eastAsia" w:ascii="宋体" w:hAnsi="宋体"/>
                <w:b/>
                <w:bCs/>
                <w:sz w:val="24"/>
                <w:szCs w:val="24"/>
              </w:rPr>
              <w:t>四、生产设备状态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ascii="宋体" w:hAnsi="宋体"/>
                <w:sz w:val="24"/>
                <w:szCs w:val="24"/>
              </w:rPr>
              <w:t>主要生产设备：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ascii="宋体" w:hAnsi="宋体"/>
                <w:sz w:val="24"/>
                <w:szCs w:val="24"/>
              </w:rPr>
              <w:t>1. 名称：                  产地：                    购置日期：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000"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2. 名称：                  产地：                    购置日期：</w:t>
            </w:r>
          </w:p>
        </w:tc>
      </w:tr>
    </w:tbl>
    <w:p>
      <w:pPr>
        <w:jc w:val="center"/>
        <w:rPr>
          <w:rFonts w:ascii="宋体" w:hAnsi="宋体"/>
          <w:sz w:val="32"/>
          <w:szCs w:val="32"/>
        </w:rPr>
      </w:pPr>
      <w:r>
        <w:rPr>
          <w:rFonts w:hint="eastAsia" w:ascii="宋体" w:hAnsi="宋体"/>
          <w:sz w:val="24"/>
          <w:szCs w:val="24"/>
        </w:rPr>
        <w:t>填表人：                                   日期：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sz w:val="24"/>
          <w:szCs w:val="24"/>
        </w:rPr>
      </w:pPr>
      <w:r>
        <w:rPr>
          <w:rFonts w:hint="eastAsia" w:ascii="宋体" w:hAnsi="宋体"/>
          <w:sz w:val="24"/>
          <w:szCs w:val="24"/>
        </w:rPr>
        <w:t>附件六：</w:t>
      </w:r>
      <w:r>
        <w:rPr>
          <w:rFonts w:hint="eastAsia"/>
          <w:b/>
          <w:kern w:val="18"/>
          <w:sz w:val="24"/>
          <w:szCs w:val="24"/>
        </w:rPr>
        <w:t>采购合同范本（此附件投标人不需要填写）</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rPr>
        <w:t>铝板购销合同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b/>
          <w:bCs/>
          <w:sz w:val="24"/>
          <w:szCs w:val="24"/>
        </w:rPr>
      </w:pPr>
      <w:r>
        <w:rPr>
          <w:rFonts w:hint="eastAsia" w:ascii="宋体" w:hAnsi="宋体"/>
          <w:b/>
          <w:bCs/>
          <w:sz w:val="24"/>
          <w:szCs w:val="24"/>
        </w:rPr>
        <w:t>甲方：方大新材料（江西）有限公司       合同编号：FDXCL-XY-2</w:t>
      </w:r>
      <w:r>
        <w:rPr>
          <w:rFonts w:hint="eastAsia" w:ascii="宋体" w:hAnsi="宋体"/>
          <w:b/>
          <w:bCs/>
          <w:sz w:val="24"/>
          <w:szCs w:val="24"/>
          <w:lang w:val="en-US" w:eastAsia="zh-CN"/>
        </w:rPr>
        <w:t>3</w:t>
      </w:r>
      <w:r>
        <w:rPr>
          <w:rFonts w:hint="eastAsia" w:ascii="宋体" w:hAnsi="宋体"/>
          <w:b/>
          <w:bCs/>
          <w:sz w:val="24"/>
          <w:szCs w:val="24"/>
        </w:rPr>
        <w:t>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b/>
          <w:bCs/>
          <w:sz w:val="24"/>
          <w:szCs w:val="24"/>
        </w:rPr>
      </w:pPr>
      <w:r>
        <w:rPr>
          <w:rFonts w:hint="eastAsia" w:ascii="宋体" w:hAnsi="宋体"/>
          <w:b/>
          <w:bCs/>
          <w:sz w:val="24"/>
          <w:szCs w:val="24"/>
        </w:rPr>
        <w:t>乙方：********有限公司                 签订地点日期：南昌市高新开发区202</w:t>
      </w:r>
      <w:r>
        <w:rPr>
          <w:rFonts w:hint="eastAsia" w:ascii="宋体" w:hAnsi="宋体"/>
          <w:b/>
          <w:bCs/>
          <w:sz w:val="24"/>
          <w:szCs w:val="24"/>
          <w:lang w:val="en-US" w:eastAsia="zh-CN"/>
        </w:rPr>
        <w:t>23</w:t>
      </w:r>
      <w:r>
        <w:rPr>
          <w:rFonts w:hint="eastAsia" w:ascii="宋体" w:hAnsi="宋体"/>
          <w:b/>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经甲乙双方友好协商，本着互惠互利，合作共赢的原则，就202</w:t>
      </w:r>
      <w:r>
        <w:rPr>
          <w:rFonts w:hint="eastAsia" w:ascii="宋体" w:hAnsi="宋体"/>
          <w:sz w:val="24"/>
          <w:szCs w:val="24"/>
          <w:lang w:val="en-US" w:eastAsia="zh-CN"/>
        </w:rPr>
        <w:t>3</w:t>
      </w:r>
      <w:r>
        <w:rPr>
          <w:rFonts w:hint="eastAsia" w:ascii="宋体" w:hAnsi="宋体"/>
          <w:sz w:val="24"/>
          <w:szCs w:val="24"/>
        </w:rPr>
        <w:t>-202</w:t>
      </w:r>
      <w:r>
        <w:rPr>
          <w:rFonts w:hint="eastAsia" w:ascii="宋体" w:hAnsi="宋体"/>
          <w:sz w:val="24"/>
          <w:szCs w:val="24"/>
          <w:lang w:val="en-US" w:eastAsia="zh-CN"/>
        </w:rPr>
        <w:t>4</w:t>
      </w:r>
      <w:r>
        <w:rPr>
          <w:rFonts w:hint="eastAsia" w:ascii="宋体" w:hAnsi="宋体"/>
          <w:sz w:val="24"/>
          <w:szCs w:val="24"/>
        </w:rPr>
        <w:t>年合作意向达成以下一致意见：</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b/>
          <w:bCs/>
          <w:sz w:val="24"/>
          <w:szCs w:val="24"/>
        </w:rPr>
        <w:t>供货范围：</w:t>
      </w:r>
      <w:r>
        <w:rPr>
          <w:rFonts w:hint="eastAsia" w:ascii="宋体" w:hAnsi="宋体"/>
          <w:sz w:val="24"/>
          <w:szCs w:val="24"/>
        </w:rPr>
        <w:t>幕墙铝板（合金1100和3003）。</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b/>
          <w:bCs/>
          <w:sz w:val="24"/>
          <w:szCs w:val="24"/>
        </w:rPr>
        <w:t>采购铝板供货价格：</w:t>
      </w:r>
      <w:r>
        <w:rPr>
          <w:rFonts w:hint="eastAsia" w:ascii="宋体" w:hAnsi="宋体"/>
          <w:sz w:val="24"/>
          <w:szCs w:val="24"/>
        </w:rPr>
        <w:t>铝锭基价+加工费（铝锭基价是指甲方询价单下达前3个工作日（不含下单当日）有效交易日的长江现货铝锭平均价执行），此价格包含13%增值税和货到江西南昌方大科技园内的其它一切相关费用。具体如下表：</w:t>
      </w:r>
    </w:p>
    <w:tbl>
      <w:tblPr>
        <w:tblStyle w:val="6"/>
        <w:tblW w:w="85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8"/>
        <w:gridCol w:w="1218"/>
        <w:gridCol w:w="1218"/>
        <w:gridCol w:w="1218"/>
        <w:gridCol w:w="1218"/>
        <w:gridCol w:w="1218"/>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项目</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宽度</w:t>
            </w:r>
            <w:r>
              <w:rPr>
                <w:rFonts w:hint="eastAsia"/>
              </w:rPr>
              <w:t>mm</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长度</w:t>
            </w:r>
            <w:r>
              <w:rPr>
                <w:rFonts w:hint="eastAsia"/>
              </w:rPr>
              <w:t>mm</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不含税单价</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税金</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单价</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交货期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0.92≤厚度≤</w:t>
            </w:r>
            <w:r>
              <w:rPr>
                <w:rFonts w:hint="eastAsia"/>
              </w:rPr>
              <w:t>4.0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900≤</w:t>
            </w:r>
            <w:r>
              <w:rPr>
                <w:rFonts w:hint="eastAsia"/>
              </w:rPr>
              <w:t>W</w:t>
            </w:r>
            <w:r>
              <w:rPr>
                <w:rFonts w:hint="eastAsia" w:ascii="宋体" w:hAnsi="宋体"/>
              </w:rPr>
              <w:t>≤</w:t>
            </w:r>
            <w:r>
              <w:rPr>
                <w:rFonts w:hint="eastAsia"/>
              </w:rPr>
              <w:t>1600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0.92≤厚度≤4</w:t>
            </w:r>
            <w:r>
              <w:rPr>
                <w:rFonts w:hint="eastAsia"/>
              </w:rPr>
              <w:t>.0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1700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0.92≤厚度≤4</w:t>
            </w:r>
            <w:r>
              <w:rPr>
                <w:rFonts w:hint="eastAsia"/>
              </w:rPr>
              <w:t>.0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1800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1900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2000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2100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0.92≤厚度≤4</w:t>
            </w:r>
            <w:r>
              <w:rPr>
                <w:rFonts w:hint="eastAsia"/>
              </w:rPr>
              <w:t>.0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2200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4.0＜厚度≤</w:t>
            </w:r>
            <w:r>
              <w:rPr>
                <w:rFonts w:hint="eastAsia"/>
              </w:rPr>
              <w:t>6.0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900≤</w:t>
            </w:r>
            <w:r>
              <w:rPr>
                <w:rFonts w:hint="eastAsia"/>
              </w:rPr>
              <w:t>W</w:t>
            </w:r>
            <w:r>
              <w:rPr>
                <w:rFonts w:hint="eastAsia" w:ascii="宋体" w:hAnsi="宋体"/>
              </w:rPr>
              <w:t>≤</w:t>
            </w:r>
            <w:r>
              <w:rPr>
                <w:rFonts w:hint="eastAsia"/>
              </w:rPr>
              <w:t>1600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4.0＜厚度≤</w:t>
            </w:r>
            <w:r>
              <w:rPr>
                <w:rFonts w:hint="eastAsia"/>
              </w:rPr>
              <w:t>6.0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1700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4.0＜厚度≤</w:t>
            </w:r>
            <w:r>
              <w:rPr>
                <w:rFonts w:hint="eastAsia"/>
              </w:rPr>
              <w:t>6.0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1800</w:t>
            </w:r>
          </w:p>
        </w:tc>
        <w:tc>
          <w:tcPr>
            <w:tcW w:w="1218" w:type="dxa"/>
            <w:tcBorders>
              <w:top w:val="single" w:color="000000" w:sz="4" w:space="0"/>
              <w:left w:val="nil"/>
              <w:bottom w:val="single" w:color="000000" w:sz="4" w:space="0"/>
              <w:right w:val="single" w:color="000000" w:sz="4" w:space="0"/>
            </w:tcBorders>
            <w:vAlign w:val="center"/>
          </w:tcPr>
          <w:p>
            <w:pPr>
              <w:jc w:val="cente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4.0＜厚度≤</w:t>
            </w:r>
            <w:r>
              <w:rPr>
                <w:rFonts w:hint="eastAsia"/>
              </w:rPr>
              <w:t>6.0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1900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4.0＜厚度≤</w:t>
            </w:r>
            <w:r>
              <w:rPr>
                <w:rFonts w:hint="eastAsia"/>
              </w:rPr>
              <w:t>6.0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2000</w:t>
            </w:r>
          </w:p>
        </w:tc>
        <w:tc>
          <w:tcPr>
            <w:tcW w:w="1218" w:type="dxa"/>
            <w:tcBorders>
              <w:top w:val="single" w:color="000000" w:sz="4" w:space="0"/>
              <w:left w:val="nil"/>
              <w:bottom w:val="single" w:color="000000" w:sz="4" w:space="0"/>
              <w:right w:val="single" w:color="000000" w:sz="4" w:space="0"/>
            </w:tcBorders>
            <w:vAlign w:val="center"/>
          </w:tcPr>
          <w:p>
            <w:pPr>
              <w:jc w:val="center"/>
              <w:rPr>
                <w:rFonts w:ascii="宋体" w:hAnsi="宋体"/>
              </w:rPr>
            </w:pPr>
            <w:r>
              <w:rPr>
                <w:rFonts w:hint="eastAsia" w:ascii="宋体" w:hAnsi="宋体"/>
              </w:rPr>
              <w:t>1000≤</w:t>
            </w:r>
            <w:r>
              <w:rPr>
                <w:rFonts w:hint="eastAsia"/>
              </w:rPr>
              <w:t>W</w:t>
            </w:r>
            <w:r>
              <w:rPr>
                <w:rFonts w:hint="eastAsia" w:ascii="宋体" w:hAnsi="宋体"/>
              </w:rPr>
              <w:t>≤</w:t>
            </w:r>
            <w:r>
              <w:rPr>
                <w:rFonts w:hint="eastAsia"/>
              </w:rPr>
              <w:t>6000</w:t>
            </w: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c>
          <w:tcPr>
            <w:tcW w:w="1218" w:type="dxa"/>
            <w:tcBorders>
              <w:top w:val="single" w:color="000000" w:sz="4" w:space="0"/>
              <w:left w:val="nil"/>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8526" w:type="dxa"/>
            <w:gridSpan w:val="7"/>
            <w:tcBorders>
              <w:top w:val="single" w:color="000000" w:sz="4" w:space="0"/>
              <w:left w:val="single" w:color="000000" w:sz="4" w:space="0"/>
              <w:bottom w:val="single" w:color="000000" w:sz="4" w:space="0"/>
              <w:right w:val="single" w:color="000000" w:sz="4" w:space="0"/>
            </w:tcBorders>
          </w:tcPr>
          <w:p>
            <w:pPr>
              <w:rPr>
                <w:rFonts w:ascii="宋体" w:hAnsi="宋体"/>
              </w:rPr>
            </w:pPr>
          </w:p>
          <w:p>
            <w:pPr>
              <w:rPr>
                <w:rFonts w:ascii="宋体" w:hAnsi="宋体"/>
              </w:rPr>
            </w:pPr>
            <w:r>
              <w:rPr>
                <w:rFonts w:hint="eastAsia" w:ascii="宋体" w:hAnsi="宋体"/>
              </w:rPr>
              <w:t>备注：</w:t>
            </w:r>
            <w:r>
              <w:rPr>
                <w:rFonts w:hint="eastAsia"/>
              </w:rPr>
              <w:t>1</w:t>
            </w:r>
            <w:r>
              <w:rPr>
                <w:rFonts w:hint="eastAsia" w:ascii="宋体" w:hAnsi="宋体"/>
              </w:rPr>
              <w:t>、以上价格为</w:t>
            </w:r>
            <w:r>
              <w:rPr>
                <w:rFonts w:hint="eastAsia"/>
              </w:rPr>
              <w:t>1100H24/H14</w:t>
            </w:r>
            <w:r>
              <w:rPr>
                <w:rFonts w:hint="eastAsia" w:ascii="宋体" w:hAnsi="宋体"/>
              </w:rPr>
              <w:t>的报价，</w:t>
            </w:r>
            <w:r>
              <w:rPr>
                <w:rFonts w:hint="eastAsia"/>
              </w:rPr>
              <w:t>3003H24/H14</w:t>
            </w:r>
            <w:r>
              <w:rPr>
                <w:rFonts w:hint="eastAsia" w:ascii="宋体" w:hAnsi="宋体"/>
              </w:rPr>
              <w:t>报价在上述价格上加</w:t>
            </w:r>
            <w:r>
              <w:rPr>
                <w:rFonts w:hint="eastAsia" w:ascii="宋体" w:hAnsi="宋体"/>
                <w:u w:val="single"/>
              </w:rPr>
              <w:t>****</w:t>
            </w:r>
            <w:r>
              <w:rPr>
                <w:rFonts w:hint="eastAsia" w:ascii="宋体" w:hAnsi="宋体"/>
              </w:rPr>
              <w:t>元</w:t>
            </w:r>
            <w:r>
              <w:rPr>
                <w:rFonts w:hint="eastAsia"/>
              </w:rPr>
              <w:t>/</w:t>
            </w:r>
            <w:r>
              <w:rPr>
                <w:rFonts w:hint="eastAsia" w:ascii="宋体" w:hAnsi="宋体"/>
              </w:rPr>
              <w:t>吨，铝卷价格减</w:t>
            </w:r>
            <w:r>
              <w:rPr>
                <w:rFonts w:hint="eastAsia" w:ascii="宋体" w:hAnsi="宋体"/>
                <w:u w:val="single"/>
              </w:rPr>
              <w:t>****</w:t>
            </w:r>
            <w:r>
              <w:rPr>
                <w:rFonts w:hint="eastAsia" w:ascii="宋体" w:hAnsi="宋体"/>
              </w:rPr>
              <w:t>元</w:t>
            </w:r>
            <w:r>
              <w:rPr>
                <w:rFonts w:hint="eastAsia"/>
              </w:rPr>
              <w:t>/</w:t>
            </w:r>
            <w:r>
              <w:rPr>
                <w:rFonts w:hint="eastAsia" w:ascii="宋体" w:hAnsi="宋体"/>
              </w:rPr>
              <w:t>吨。</w:t>
            </w:r>
          </w:p>
          <w:p>
            <w:pPr>
              <w:rPr>
                <w:rFonts w:ascii="宋体" w:hAnsi="宋体"/>
              </w:rPr>
            </w:pPr>
            <w:r>
              <w:rPr>
                <w:rFonts w:hint="eastAsia" w:ascii="宋体" w:hAnsi="宋体"/>
              </w:rPr>
              <w:t>2、</w:t>
            </w:r>
            <w:r>
              <w:rPr>
                <w:rFonts w:hint="eastAsia" w:ascii="宋体" w:cs="宋体"/>
                <w:lang w:val="zh-CN"/>
              </w:rPr>
              <w:t>合同履行过程中，遇国家税率发生变化，则合同约定的税金、含税单价和合同金额应按调整后税率进行变更,</w:t>
            </w:r>
            <w:r>
              <w:rPr>
                <w:rFonts w:hint="eastAsia" w:ascii="宋体" w:hAnsi="宋体"/>
              </w:rPr>
              <w:t>不含税价格不变。</w:t>
            </w:r>
          </w:p>
          <w:p>
            <w:pPr>
              <w:ind w:firstLine="630" w:firstLineChars="300"/>
            </w:pPr>
          </w:p>
        </w:tc>
      </w:tr>
    </w:tbl>
    <w:p>
      <w:pPr>
        <w:rPr>
          <w:rFonts w:ascii="宋体" w:hAnsi="宋体"/>
        </w:rPr>
      </w:pP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三、质量要求及技术标准：</w:t>
      </w:r>
      <w:r>
        <w:rPr>
          <w:rFonts w:hint="eastAsia" w:asciiTheme="minorEastAsia" w:hAnsiTheme="minorEastAsia" w:eastAsiaTheme="minorEastAsia" w:cstheme="minorEastAsia"/>
          <w:sz w:val="24"/>
          <w:szCs w:val="24"/>
        </w:rPr>
        <w:t>符合</w:t>
      </w:r>
      <w:r>
        <w:rPr>
          <w:rFonts w:hint="eastAsia" w:asciiTheme="minorEastAsia" w:hAnsiTheme="minorEastAsia" w:eastAsiaTheme="minorEastAsia" w:cstheme="minorEastAsia"/>
          <w:b/>
          <w:bCs/>
          <w:sz w:val="24"/>
          <w:szCs w:val="24"/>
        </w:rPr>
        <w:t>YS/T429.1-2000（铝幕墙板 板基）及国家</w:t>
      </w:r>
      <w:r>
        <w:rPr>
          <w:rFonts w:hint="eastAsia" w:asciiTheme="minorEastAsia" w:hAnsiTheme="minorEastAsia" w:eastAsiaTheme="minorEastAsia" w:cstheme="minorEastAsia"/>
          <w:sz w:val="24"/>
          <w:szCs w:val="24"/>
        </w:rPr>
        <w:t>标准（</w:t>
      </w:r>
      <w:r>
        <w:rPr>
          <w:rFonts w:hint="eastAsia" w:asciiTheme="minorEastAsia" w:hAnsiTheme="minorEastAsia" w:eastAsiaTheme="minorEastAsia" w:cstheme="minorEastAsia"/>
          <w:b/>
          <w:bCs/>
          <w:sz w:val="24"/>
          <w:szCs w:val="24"/>
        </w:rPr>
        <w:t>GB/T3880 -2006）</w:t>
      </w:r>
      <w:r>
        <w:rPr>
          <w:rFonts w:hint="eastAsia" w:asciiTheme="minorEastAsia" w:hAnsiTheme="minorEastAsia" w:eastAsiaTheme="minorEastAsia" w:cstheme="minorEastAsia"/>
          <w:sz w:val="24"/>
          <w:szCs w:val="24"/>
        </w:rPr>
        <w:t>.板面平整、无波纹、无辊印、无腐蚀现象，铝板做≥90</w:t>
      </w:r>
      <w:r>
        <w:rPr>
          <w:rFonts w:hint="eastAsia" w:asciiTheme="minorEastAsia" w:hAnsiTheme="minorEastAsia" w:eastAsiaTheme="minorEastAsia" w:cstheme="minorEastAsia"/>
          <w:sz w:val="24"/>
          <w:szCs w:val="24"/>
          <w:vertAlign w:val="superscript"/>
        </w:rPr>
        <w:t>0</w:t>
      </w:r>
      <w:r>
        <w:rPr>
          <w:rFonts w:hint="eastAsia" w:asciiTheme="minorEastAsia" w:hAnsiTheme="minorEastAsia" w:eastAsiaTheme="minorEastAsia" w:cstheme="minorEastAsia"/>
          <w:sz w:val="24"/>
          <w:szCs w:val="24"/>
        </w:rPr>
        <w:t>折弯不出现裂纹，</w:t>
      </w:r>
      <w:r>
        <w:rPr>
          <w:rFonts w:hint="eastAsia" w:asciiTheme="minorEastAsia" w:hAnsiTheme="minorEastAsia" w:eastAsiaTheme="minorEastAsia" w:cstheme="minorEastAsia"/>
          <w:color w:val="FF0000"/>
          <w:sz w:val="24"/>
          <w:szCs w:val="24"/>
        </w:rPr>
        <w:t>厚度公差控制在±0.02mm以内。厚度的理论厚度重量与实际重量的差异需在标准允许范围内，如超出范围双方另行协商解决。</w:t>
      </w:r>
      <w:r>
        <w:rPr>
          <w:rFonts w:hint="eastAsia" w:asciiTheme="minorEastAsia" w:hAnsiTheme="minorEastAsia" w:eastAsiaTheme="minorEastAsia" w:cstheme="minorEastAsia"/>
          <w:sz w:val="24"/>
          <w:szCs w:val="24"/>
        </w:rPr>
        <w:t>乙方交货时需提供货物清单、产品合格证、质量证明书。若乙方未提供上述材料，甲方可不予付款且不承担延迟支付的责任。</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四、交货地点及费用负担</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江西省南昌市高新区高新大道1189号方大科技园</w:t>
      </w:r>
      <w:r>
        <w:rPr>
          <w:rFonts w:hint="eastAsia" w:asciiTheme="minorEastAsia" w:hAnsiTheme="minorEastAsia" w:eastAsiaTheme="minorEastAsia" w:cstheme="minorEastAsia"/>
          <w:sz w:val="24"/>
          <w:szCs w:val="24"/>
        </w:rPr>
        <w:t>交货，乙方负责送货到厂，并承担运费。</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五、交货期：</w:t>
      </w:r>
      <w:r>
        <w:rPr>
          <w:rFonts w:hint="eastAsia" w:asciiTheme="minorEastAsia" w:hAnsiTheme="minorEastAsia" w:eastAsiaTheme="minorEastAsia" w:cstheme="minorEastAsia"/>
          <w:sz w:val="24"/>
          <w:szCs w:val="24"/>
        </w:rPr>
        <w:t>具体订单下单后宽度为1000mm-1600mm交货期**天，1601mm-</w:t>
      </w: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00mm交货期为**天。</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六、验收标准：1、</w:t>
      </w:r>
      <w:r>
        <w:rPr>
          <w:rFonts w:hint="eastAsia" w:asciiTheme="minorEastAsia" w:hAnsiTheme="minorEastAsia" w:eastAsiaTheme="minorEastAsia" w:cstheme="minorEastAsia"/>
          <w:sz w:val="24"/>
          <w:szCs w:val="24"/>
        </w:rPr>
        <w:t>按</w:t>
      </w:r>
      <w:r>
        <w:rPr>
          <w:rFonts w:hint="eastAsia" w:asciiTheme="minorEastAsia" w:hAnsiTheme="minorEastAsia" w:eastAsiaTheme="minorEastAsia" w:cstheme="minorEastAsia"/>
          <w:b/>
          <w:bCs/>
          <w:sz w:val="24"/>
          <w:szCs w:val="24"/>
        </w:rPr>
        <w:t>YS/T429.1-2000（铝幕墙板 板基）及国家</w:t>
      </w:r>
      <w:r>
        <w:rPr>
          <w:rFonts w:hint="eastAsia" w:asciiTheme="minorEastAsia" w:hAnsiTheme="minorEastAsia" w:eastAsiaTheme="minorEastAsia" w:cstheme="minorEastAsia"/>
          <w:sz w:val="24"/>
          <w:szCs w:val="24"/>
        </w:rPr>
        <w:t>标准（</w:t>
      </w:r>
      <w:r>
        <w:rPr>
          <w:rFonts w:hint="eastAsia" w:asciiTheme="minorEastAsia" w:hAnsiTheme="minorEastAsia" w:eastAsiaTheme="minorEastAsia" w:cstheme="minorEastAsia"/>
          <w:b/>
          <w:bCs/>
          <w:sz w:val="24"/>
          <w:szCs w:val="24"/>
        </w:rPr>
        <w:t>GB/T3880 -2006）</w:t>
      </w:r>
      <w:r>
        <w:rPr>
          <w:rFonts w:hint="eastAsia" w:asciiTheme="minorEastAsia" w:hAnsiTheme="minorEastAsia" w:eastAsiaTheme="minorEastAsia" w:cstheme="minorEastAsia"/>
          <w:sz w:val="24"/>
          <w:szCs w:val="24"/>
        </w:rPr>
        <w:t>验收（铝板单面贴塑料保护膜).甲方完成初步验收后，在生产使用过程中产品出现质量问题，甲方有权再提出投诉，乙方必须于叁日内对质量问题做出书面处理的方案并及时处理(包括退货或超差处理)，如乙方未及时处理，乙方每日需向甲方按出现质量问题货物金额的0.5%支付违约金。</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乙方确认，甲方同该项目业主或总包的最终验收证明不视为乙方产品质量必然合格的证明，也不视为甲方当然免除乙方已存在质量问题产品的责任，且该等质量问题无论是验收前还是验收后出现的，甲方均有权依据合同继续向乙方主张相关权益，乙方应继续按照合同约定履行整改、维修、更换、赔偿等责任。</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3、乙方铝板木托质量与摆放要求要符合甲方的《铝板原材料木架来料规范》，从而确保木托质量能满足甲方储存及搬运过程中质量和安全要求。</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七、包装：包装标准</w:t>
      </w:r>
      <w:r>
        <w:rPr>
          <w:rFonts w:hint="eastAsia" w:asciiTheme="minorEastAsia" w:hAnsiTheme="minorEastAsia" w:eastAsiaTheme="minorEastAsia" w:cstheme="minorEastAsia"/>
          <w:sz w:val="24"/>
          <w:szCs w:val="24"/>
        </w:rPr>
        <w:t>：按</w:t>
      </w:r>
      <w:r>
        <w:rPr>
          <w:rFonts w:hint="eastAsia" w:asciiTheme="minorEastAsia" w:hAnsiTheme="minorEastAsia" w:eastAsiaTheme="minorEastAsia" w:cstheme="minorEastAsia"/>
          <w:b/>
          <w:bCs/>
          <w:sz w:val="24"/>
          <w:szCs w:val="24"/>
        </w:rPr>
        <w:t>GB/T3880 -2006（铝幕墙板 板基）</w:t>
      </w:r>
      <w:r>
        <w:rPr>
          <w:rFonts w:hint="eastAsia" w:asciiTheme="minorEastAsia" w:hAnsiTheme="minorEastAsia" w:eastAsiaTheme="minorEastAsia" w:cstheme="minorEastAsia"/>
          <w:sz w:val="24"/>
          <w:szCs w:val="24"/>
        </w:rPr>
        <w:t>标准包装。</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八、付款结算方式及期限：</w:t>
      </w:r>
    </w:p>
    <w:p>
      <w:pPr>
        <w:keepNext w:val="0"/>
        <w:keepLines w:val="0"/>
        <w:pageBreakBefore w:val="0"/>
        <w:widowControl w:val="0"/>
        <w:kinsoku/>
        <w:wordWrap/>
        <w:overflowPunct/>
        <w:topLinePunct w:val="0"/>
        <w:bidi w:val="0"/>
        <w:snapToGrid/>
        <w:spacing w:line="360" w:lineRule="auto"/>
        <w:ind w:right="-334" w:rightChars="-15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1、付款方式为</w:t>
      </w:r>
      <w:r>
        <w:rPr>
          <w:rFonts w:hint="eastAsia" w:asciiTheme="minorEastAsia" w:hAnsiTheme="minorEastAsia" w:eastAsiaTheme="minorEastAsia" w:cstheme="minorEastAsia"/>
          <w:b/>
          <w:bCs/>
          <w:sz w:val="24"/>
          <w:szCs w:val="24"/>
          <w:u w:val="single"/>
        </w:rPr>
        <w:t>****</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bidi w:val="0"/>
        <w:snapToGrid/>
        <w:spacing w:line="360" w:lineRule="auto"/>
        <w:ind w:right="-334" w:rightChars="-15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2、付款期限：</w:t>
      </w:r>
      <w:r>
        <w:rPr>
          <w:rFonts w:hint="eastAsia" w:asciiTheme="minorEastAsia" w:hAnsiTheme="minorEastAsia" w:eastAsiaTheme="minorEastAsia" w:cstheme="minorEastAsia"/>
          <w:b/>
          <w:bCs/>
          <w:sz w:val="24"/>
          <w:szCs w:val="24"/>
          <w:u w:val="single"/>
        </w:rPr>
        <w:t>*********************</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乙方必须提供合法、有效的增值税专用发票；若提供虚假发票而给甲方造成损失的，乙方将承担由此给甲方造成的全部损失，且甲方有权停止支付与其有关的全部款项，直至给甲方造成的损失全部得到弥补为止；若乙方提供虚假发票，一经发现，应立即无条件更换合法、有效发票；无论是否给甲方造成损失，甲方有权停止支付与虚假发票有关的全部款项，且乙方自动放弃追索。</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bCs/>
          <w:sz w:val="24"/>
          <w:szCs w:val="24"/>
          <w:lang w:val="zh-CN"/>
        </w:rPr>
        <w:t>甲乙双方同意并确认：若合同履行过程中遇到国家相关税率发生变化，则</w:t>
      </w:r>
      <w:r>
        <w:rPr>
          <w:rFonts w:hint="eastAsia" w:asciiTheme="minorEastAsia" w:hAnsiTheme="minorEastAsia" w:eastAsiaTheme="minorEastAsia" w:cstheme="minorEastAsia"/>
          <w:bCs/>
          <w:sz w:val="24"/>
          <w:szCs w:val="24"/>
        </w:rPr>
        <w:t>合同约定的税金、含税单价及合同金额应按调整后税率进行变更</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不含税价格不变</w:t>
      </w:r>
      <w:r>
        <w:rPr>
          <w:rFonts w:hint="eastAsia" w:asciiTheme="minorEastAsia" w:hAnsiTheme="minorEastAsia" w:eastAsiaTheme="minorEastAsia" w:cstheme="minorEastAsia"/>
          <w:bCs/>
          <w:sz w:val="24"/>
          <w:szCs w:val="24"/>
        </w:rPr>
        <w:t>；乙方应严格按照业务的实际纳税义务发生时间开具对应税率的发票，其中纳税义务发生时间在税率变化前的适用原税率，纳税义务发生时间在税率变化后的适用新税率。</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九、违约责任：</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sz w:val="24"/>
          <w:szCs w:val="24"/>
        </w:rPr>
        <w:t>乙方逾期交货的，每日应向甲方支付逾期交货金额0.5%的违约金。如逾期超过五日甲方有权终止合同并可就所造成的损失甲方有权向乙方进行索赔。如不可抗力因素和甲方原因导致的逾期，则不在此列。</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sz w:val="24"/>
          <w:szCs w:val="24"/>
        </w:rPr>
        <w:t>如甲方未能及时支付货款，每日应向乙方支付应付货款金额0.5%的违约金。如逾期超过五日，乙方有权终止合同并可就所造成的损失向甲方索赔。如不可抗力因素和乙方原因导致的逾期，则不在此列。</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3、</w:t>
      </w:r>
      <w:r>
        <w:rPr>
          <w:rFonts w:hint="eastAsia" w:asciiTheme="minorEastAsia" w:hAnsiTheme="minorEastAsia" w:eastAsiaTheme="minorEastAsia" w:cstheme="minorEastAsia"/>
          <w:sz w:val="24"/>
          <w:szCs w:val="24"/>
        </w:rPr>
        <w:t>乙方所交货物品种、型号、规格、颜色、质量等与合同不符的，如甲方同意利用，应按质论价；甲方不同意利用的，经双方确认后，可选择以下任一种处理方案：</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A、由乙方在一周内负责包换，并承担修理、调换或退货而支付的实际费用及因此所造成甲方的相关损失；数量不足的乙方应在收到甲方补货通知后十天内将补充货物送达甲方指定交货地点；</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B、若因乙方质量问题导致业主方要求更换品牌的、对甲方已经或有证据表明即将造成重大损失的（本合同金额的20%及以上），甲方可解除与乙方的合同，并要求乙方承担由此造成的甲方全部损失。</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4、</w:t>
      </w:r>
      <w:r>
        <w:rPr>
          <w:rFonts w:hint="eastAsia" w:asciiTheme="minorEastAsia" w:hAnsiTheme="minorEastAsia" w:eastAsiaTheme="minorEastAsia" w:cstheme="minorEastAsia"/>
          <w:sz w:val="24"/>
          <w:szCs w:val="24"/>
        </w:rPr>
        <w:t>如乙方提供的产品同批次检验判定不合格二次以上时,甲方有权利对乙方进行质量罚款，情节严重时，甲方有权终止本合同，乙方应赔偿因质量问题对甲方造成的相关经济损失。</w:t>
      </w:r>
    </w:p>
    <w:p>
      <w:pPr>
        <w:keepNext w:val="0"/>
        <w:keepLines w:val="0"/>
        <w:pageBreakBefore w:val="0"/>
        <w:widowControl w:val="0"/>
        <w:kinsoku/>
        <w:wordWrap/>
        <w:overflowPunct/>
        <w:topLinePunct w:val="0"/>
        <w:autoSpaceDE w:val="0"/>
        <w:autoSpaceDN w:val="0"/>
        <w:bidi w:val="0"/>
        <w:adjustRightInd w:val="0"/>
        <w:snapToGrid/>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5、乙方不得以任何理由扣留甲方预付款，否则甲方罚没乙方履约保证金，并按同期银行贷款利息的5倍计算利息损失。</w:t>
      </w:r>
    </w:p>
    <w:p>
      <w:pPr>
        <w:keepNext w:val="0"/>
        <w:keepLines w:val="0"/>
        <w:pageBreakBefore w:val="0"/>
        <w:widowControl w:val="0"/>
        <w:kinsoku/>
        <w:wordWrap/>
        <w:overflowPunct/>
        <w:topLinePunct w:val="0"/>
        <w:autoSpaceDE w:val="0"/>
        <w:autoSpaceDN w:val="0"/>
        <w:bidi w:val="0"/>
        <w:adjustRightInd w:val="0"/>
        <w:snapToGrid/>
        <w:spacing w:line="360" w:lineRule="auto"/>
        <w:jc w:val="left"/>
        <w:rPr>
          <w:rFonts w:hint="eastAsia" w:asciiTheme="minorEastAsia" w:hAnsiTheme="minorEastAsia" w:eastAsiaTheme="minorEastAsia" w:cstheme="minorEastAsia"/>
          <w:color w:val="FF0000"/>
          <w:kern w:val="0"/>
          <w:sz w:val="24"/>
          <w:szCs w:val="24"/>
        </w:rPr>
      </w:pPr>
      <w:r>
        <w:rPr>
          <w:rFonts w:hint="eastAsia" w:asciiTheme="minorEastAsia" w:hAnsiTheme="minorEastAsia" w:eastAsiaTheme="minorEastAsia" w:cstheme="minorEastAsia"/>
          <w:color w:val="FF0000"/>
          <w:kern w:val="0"/>
          <w:sz w:val="24"/>
          <w:szCs w:val="24"/>
        </w:rPr>
        <w:t>6、</w:t>
      </w:r>
      <w:r>
        <w:rPr>
          <w:rFonts w:hint="eastAsia" w:asciiTheme="minorEastAsia" w:hAnsiTheme="minorEastAsia" w:eastAsiaTheme="minorEastAsia" w:cstheme="minorEastAsia"/>
          <w:color w:val="FF0000"/>
          <w:sz w:val="24"/>
          <w:szCs w:val="24"/>
          <w:lang w:val="zh-CN"/>
        </w:rPr>
        <w:t>合同期内乙方不得以任何形式变更加工费或以各种理由延迟交货。</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7、本合同为独立合同，乙方不能因为双方已经或将来签订的其它合同产生的纠纷而中止履行、不履行或不积极履行合同义务，每发生一次乙方应向甲方支付合同价款的5%作为违约金，并继续积极切实履行合同。</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十、签收授权</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1、甲方合同签字委托代理</w:t>
      </w:r>
      <w:r>
        <w:rPr>
          <w:rFonts w:hint="eastAsia" w:asciiTheme="minorEastAsia" w:hAnsiTheme="minorEastAsia" w:eastAsiaTheme="minorEastAsia" w:cstheme="minorEastAsia"/>
          <w:sz w:val="24"/>
          <w:szCs w:val="24"/>
          <w:u w:val="single"/>
        </w:rPr>
        <w:t xml:space="preserve"> ***** </w:t>
      </w:r>
      <w:r>
        <w:rPr>
          <w:rFonts w:hint="eastAsia" w:asciiTheme="minorEastAsia" w:hAnsiTheme="minorEastAsia" w:eastAsiaTheme="minorEastAsia" w:cstheme="minorEastAsia"/>
          <w:sz w:val="24"/>
          <w:szCs w:val="24"/>
        </w:rPr>
        <w:t>，乙方合同签字委托代理 。</w:t>
      </w:r>
    </w:p>
    <w:p>
      <w:pPr>
        <w:keepNext w:val="0"/>
        <w:keepLines w:val="0"/>
        <w:pageBreakBefore w:val="0"/>
        <w:widowControl w:val="0"/>
        <w:kinsoku/>
        <w:wordWrap/>
        <w:overflowPunct/>
        <w:topLinePunct w:val="0"/>
        <w:bidi w:val="0"/>
        <w:snapToGrid/>
        <w:spacing w:line="360" w:lineRule="auto"/>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2、乙方生产以甲方传真的订单为准，甲方下单确认人以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或盖甲方有效印章为准，甲方接货确认人以</w:t>
      </w:r>
      <w:r>
        <w:rPr>
          <w:rFonts w:hint="eastAsia" w:asciiTheme="minorEastAsia" w:hAnsiTheme="minorEastAsia" w:eastAsiaTheme="minorEastAsia" w:cstheme="minorEastAsia"/>
          <w:sz w:val="24"/>
          <w:szCs w:val="24"/>
          <w:u w:val="single"/>
        </w:rPr>
        <w:t xml:space="preserve"> 任亚军 </w:t>
      </w:r>
      <w:r>
        <w:rPr>
          <w:rFonts w:hint="eastAsia" w:asciiTheme="minorEastAsia" w:hAnsiTheme="minorEastAsia" w:eastAsiaTheme="minorEastAsia" w:cstheme="minorEastAsia"/>
          <w:sz w:val="24"/>
          <w:szCs w:val="24"/>
        </w:rPr>
        <w:t>或仓库印章为准。联系电话：</w:t>
      </w:r>
      <w:r>
        <w:rPr>
          <w:rFonts w:hint="eastAsia" w:asciiTheme="minorEastAsia" w:hAnsiTheme="minorEastAsia" w:eastAsiaTheme="minorEastAsia" w:cstheme="minorEastAsia"/>
          <w:sz w:val="24"/>
          <w:szCs w:val="24"/>
          <w:u w:val="single"/>
        </w:rPr>
        <w:t xml:space="preserve"> 0791-88132371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bidi w:val="0"/>
        <w:snapToGrid/>
        <w:spacing w:line="360" w:lineRule="auto"/>
        <w:ind w:firstLine="120" w:firstLineChars="5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如甲方收货签收人员有变动则以双方书面函件为准。除甲方指定签收人员以外其他任何人员签署的任何形式的收货凭据均不作为货物签收的依据，甲方指定的签收人仅对合同约定范围内的货物签收有效，其签署的收货凭据仅作为甲方对收到货物的数量、型号、规格、到场时间等的证明，最终货款结算金额是由双方部根据合同条款书面审核确定，且甲方对乙方货物的签收，并不能免除乙方对其所提供产品应承担的质量缺陷责任。</w:t>
      </w:r>
    </w:p>
    <w:p>
      <w:pPr>
        <w:keepNext w:val="0"/>
        <w:keepLines w:val="0"/>
        <w:pageBreakBefore w:val="0"/>
        <w:widowControl w:val="0"/>
        <w:kinsoku/>
        <w:wordWrap/>
        <w:overflowPunct/>
        <w:topLinePunct w:val="0"/>
        <w:bidi w:val="0"/>
        <w:snapToGrid/>
        <w:spacing w:line="360" w:lineRule="auto"/>
        <w:ind w:firstLine="120" w:firstLineChars="5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如甲乙双方签字人员有变动则以双方书面函件为准，合同内容如有变更或实际订购数量超过合同总额的5%时则甲乙双方需签订补充协议，补充协议在双方授权人签字并加盖与本合同相同印章后生效，与本合同具有同等法律效力。</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rPr>
        <w:t>十一、</w:t>
      </w:r>
      <w:r>
        <w:rPr>
          <w:rFonts w:hint="eastAsia" w:asciiTheme="minorEastAsia" w:hAnsiTheme="minorEastAsia" w:eastAsiaTheme="minorEastAsia" w:cstheme="minorEastAsia"/>
          <w:b/>
          <w:sz w:val="24"/>
          <w:szCs w:val="24"/>
        </w:rPr>
        <w:t>合同解除条款:</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1、甲乙双方共同确认，乙方出现以下任意情形之一的，甲方随时有权单方解除本合同，并要求乙方承担合同金额或结算金额20%的违约金，违约金不足以弥补损失的，甲方有权继续向乙方索赔：</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1.1.乙方逾期交货（或施工安装）超过5日以上的，且经甲方催告后拒不整改或整改后仍无法满足交货（或施工安装）要求的；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1.2.乙方交付的产品（或施工的工程）不符合合同的质量标准和要求，甲方要求整改后拒不整改或经整改后仍无法满足合同质量要求的或项目业主、总包、监理要求的；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1.3.乙方未按照甲方订单要求或图纸要求进行生产加工的，经甲方要求整改后拒不整改的或整改后仍无法满足甲方订单或图纸生产要求的；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1.4.乙方未经甲方同意擅自更换合同约定的品牌、技术参数、规格型号以次充好、以假充真等；</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1.5.因乙方质量问题导致业主方要求甲方更换品牌的，或甲方进行罚款或追究违约责任的，或造成甲方工期延误的；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1.6.乙方不能继续履行合同的，包括但不限于资不抵债、停业整顿、破产清算等；</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1.7.乙方违反本合同保密与知识产权的约定或乙方存在侵犯甲方知识产权行为的；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 乙方违反其他合同义务及附随义务的，经甲方要求整改后拒不整改的或整改后仍不满足合同约定的；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1.9.乙方违法转包或未经甲方书面同意将其权利义务转让给第三方的；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1.10向甲方工作人员或亲友提供任何形式的回扣、礼品、有价证券等贿赂；</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1.11.乙方在合同签订或履行期间中有欺诈行为的。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2、甲乙双方共同确认，出现以下任意情形之一的，双方可以协商解除合同并据实办理结算手续，减少双方损失：</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2.1.因项目停建（超过6个月）或取消；</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2.2.甲方和业主的施工合同解除的；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2.3.非因乙方原因业主更改品牌的；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2.4.因政策或政府行为导致项目无法继续施工的；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2.5.因不可抗力发生，合同无法继续履行的。</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十二、履约保证金：</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1、协议签订后，乙方应支付</w:t>
      </w:r>
      <w:r>
        <w:rPr>
          <w:rFonts w:hint="eastAsia" w:asciiTheme="minorEastAsia" w:hAnsiTheme="minorEastAsia" w:eastAsiaTheme="minorEastAsia" w:cstheme="minorEastAsia"/>
          <w:sz w:val="24"/>
          <w:szCs w:val="24"/>
          <w:u w:val="single"/>
        </w:rPr>
        <w:t>*万</w:t>
      </w:r>
      <w:r>
        <w:rPr>
          <w:rFonts w:hint="eastAsia" w:asciiTheme="minorEastAsia" w:hAnsiTheme="minorEastAsia" w:eastAsiaTheme="minorEastAsia" w:cstheme="minorEastAsia"/>
          <w:sz w:val="24"/>
          <w:szCs w:val="24"/>
        </w:rPr>
        <w:t>元作为该协议履约保证金，待本合同履约完毕后将在10天内无息退还给乙方。</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2、在协议有效期之内，乙方不得对铝锭基价确认方式和内容进行变更，如乙方要求变更，甲方将在履约保证金中进行扣除因为变更给甲方造成的损失，扣完为止。</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3、乙方不得以任何理由拒绝承接甲方下单或延迟交货，否则视同违约，甲方有权扣除履约保证金。</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4、在协议有效期之内，乙方不得对相关价格（包括铝锭及铝锭价格确定方式）及加工费用进行调整（除承兑贴息影响），除贴息影响乙方擅自调整价格，给甲方造成的损失，甲方将从履约保证金中扣除。</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5、甲方发现乙方所提供铝板材料的材质成分不符合合同（订单）及国家标准要求，甲方扣除乙方的履约保证金，乙方并承担该批货物金额3倍以上的处罚。</w:t>
      </w:r>
    </w:p>
    <w:p>
      <w:pPr>
        <w:keepNext w:val="0"/>
        <w:keepLines w:val="0"/>
        <w:pageBreakBefore w:val="0"/>
        <w:widowControl w:val="0"/>
        <w:kinsoku/>
        <w:wordWrap/>
        <w:overflowPunct/>
        <w:topLinePunct w:val="0"/>
        <w:autoSpaceDE w:val="0"/>
        <w:autoSpaceDN w:val="0"/>
        <w:bidi w:val="0"/>
        <w:adjustRightInd w:val="0"/>
        <w:snapToGrid/>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kern w:val="0"/>
          <w:sz w:val="24"/>
          <w:szCs w:val="24"/>
        </w:rPr>
        <w:t>乙方交货延误，处罚金额甲方有权直接从履约保证金内扣除。</w:t>
      </w:r>
    </w:p>
    <w:p>
      <w:pPr>
        <w:keepNext w:val="0"/>
        <w:keepLines w:val="0"/>
        <w:pageBreakBefore w:val="0"/>
        <w:widowControl w:val="0"/>
        <w:kinsoku/>
        <w:wordWrap/>
        <w:overflowPunct/>
        <w:topLinePunct w:val="0"/>
        <w:autoSpaceDE w:val="0"/>
        <w:autoSpaceDN w:val="0"/>
        <w:bidi w:val="0"/>
        <w:adjustRightInd w:val="0"/>
        <w:snapToGrid/>
        <w:spacing w:line="360" w:lineRule="auto"/>
        <w:jc w:val="left"/>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十三、保密及知识产权</w:t>
      </w:r>
    </w:p>
    <w:p>
      <w:pPr>
        <w:keepNext w:val="0"/>
        <w:keepLines w:val="0"/>
        <w:pageBreakBefore w:val="0"/>
        <w:widowControl w:val="0"/>
        <w:kinsoku/>
        <w:wordWrap/>
        <w:overflowPunct/>
        <w:topLinePunct w:val="0"/>
        <w:autoSpaceDE w:val="0"/>
        <w:autoSpaceDN w:val="0"/>
        <w:bidi w:val="0"/>
        <w:adjustRightInd w:val="0"/>
        <w:snapToGrid/>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非经甲方事先书面同意，乙方不得将甲方在本合同签署及履行过程中披露的任何标准、规范、计划、图纸、模型、样品、资料或其他信息披露给任何第三人；乙方向与执行本合同的有关人员提供上述文件时，应保证有关人员遵守保密义务；由于乙方原因或人员引起泄密而造成甲方损失的，由乙方赔偿全部损失。本条款构成独立的保密协议。本条款的义务不因本合同的终止而终止。</w:t>
      </w:r>
    </w:p>
    <w:p>
      <w:pPr>
        <w:keepNext w:val="0"/>
        <w:keepLines w:val="0"/>
        <w:pageBreakBefore w:val="0"/>
        <w:widowControl w:val="0"/>
        <w:kinsoku/>
        <w:wordWrap/>
        <w:overflowPunct/>
        <w:topLinePunct w:val="0"/>
        <w:autoSpaceDE w:val="0"/>
        <w:autoSpaceDN w:val="0"/>
        <w:bidi w:val="0"/>
        <w:adjustRightInd w:val="0"/>
        <w:snapToGrid/>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2、乙方应保证，甲方在中华人民共和国使用本合同项下货物或货物的一部分时，免于遭受第三方就知识产权（包括但不限于专利权、商标权、著作权及非专利技术）提起的诉讼、仲裁或任何请求。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360" w:firstLineChars="1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发生因乙方出售的货物或货物的一部分侵犯了他人知识产权而针对甲方提起索赔或诉讼的情况，且甲方将此等情况及时通知了乙方并向乙方提供了合理的信息与协助，并且授权乙方独立进行辩护和解决索赔问题，乙方将自费进行辩护，并支付全部费用和由于该案最终判决或裁决/裁定而支付的赔偿金，以及赔偿甲方因此而受到的一切损失。</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十四、其它</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合同签订后，甲方根据需求向乙方进行询价（确定具体交货期、铝锭基价等），询价单乙方须当天确认并回复甲方，甲方以订单格式向乙方订购铝板，订单包含合金状态、厚度、长度、宽度、重量、片数、价格等，乙方收到甲方的订单后需盖章确认回传，并按甲方订单的要求进行下单生产。</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2、本协议一式两份，双方各执一份。经双方签字、盖章后生效，传真件具有原件的同等效力。</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3、廉洁合作协议作为本合同的附件，与本合同具有同等法律效力。甲方或乙方一旦发现任何一方或者其工作人员违反廉洁合作协议可以向甲方审计监察部举报，举报电话：0755—26788571-5515。</w:t>
      </w:r>
    </w:p>
    <w:p>
      <w:pPr>
        <w:keepNext w:val="0"/>
        <w:keepLines w:val="0"/>
        <w:pageBreakBefore w:val="0"/>
        <w:widowControl w:val="0"/>
        <w:kinsoku/>
        <w:wordWrap/>
        <w:overflowPunct/>
        <w:topLinePunct w:val="0"/>
        <w:bidi w:val="0"/>
        <w:snapToGrid/>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4、凡因本合同引起的或与本合同有关的任何争议，如果双方协商不成可向甲方所在地法院诉讼解决</w:t>
      </w:r>
    </w:p>
    <w:p>
      <w:pPr>
        <w:keepNext w:val="0"/>
        <w:keepLines w:val="0"/>
        <w:pageBreakBefore w:val="0"/>
        <w:widowControl w:val="0"/>
        <w:kinsoku/>
        <w:wordWrap/>
        <w:overflowPunct/>
        <w:topLinePunct w:val="0"/>
        <w:bidi w:val="0"/>
        <w:snapToGrid/>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甲、乙双方确认任何对合同条款的实质性变更应当以正式书面的补充协议并加盖双方公章或合同章为唯一标准，前述实质性变更即指包括但不限于产品价格（包括单价）、数量、质量标准、验收标准、结算付款方式、违约责任、争议管辖等。任何一方通过送货单、收货单、对账单、结算单、往来函件、电子邮件等方式擅自对合同条款进行实质性变更的均不能产生法律效力。</w:t>
      </w: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十五</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bCs/>
          <w:sz w:val="24"/>
          <w:szCs w:val="24"/>
        </w:rPr>
        <w:t>协议有效期：</w:t>
      </w:r>
      <w:r>
        <w:rPr>
          <w:rFonts w:hint="eastAsia" w:asciiTheme="minorEastAsia" w:hAnsiTheme="minorEastAsia" w:eastAsiaTheme="minorEastAsia" w:cstheme="minorEastAsia"/>
          <w:sz w:val="24"/>
          <w:szCs w:val="24"/>
        </w:rPr>
        <w:t>本协议有效期自</w:t>
      </w:r>
      <w:r>
        <w:rPr>
          <w:rFonts w:hint="eastAsia" w:asciiTheme="minorEastAsia" w:hAnsiTheme="minorEastAsia" w:eastAsiaTheme="minorEastAsia" w:cstheme="minorEastAsia"/>
          <w:sz w:val="24"/>
          <w:szCs w:val="24"/>
          <w:u w:val="single"/>
        </w:rPr>
        <w:t>202</w:t>
      </w:r>
      <w:r>
        <w:rPr>
          <w:rFonts w:hint="eastAsia" w:asciiTheme="minorEastAsia" w:hAnsiTheme="minorEastAsia" w:eastAsiaTheme="minorEastAsia" w:cstheme="minorEastAsia"/>
          <w:sz w:val="24"/>
          <w:szCs w:val="24"/>
          <w:u w:val="single"/>
          <w:lang w:val="en-US" w:eastAsia="zh-CN"/>
        </w:rPr>
        <w:t>3</w:t>
      </w:r>
      <w:r>
        <w:rPr>
          <w:rFonts w:hint="eastAsia" w:asciiTheme="minorEastAsia" w:hAnsiTheme="minorEastAsia" w:eastAsiaTheme="minorEastAsia" w:cstheme="minorEastAsia"/>
          <w:sz w:val="24"/>
          <w:szCs w:val="24"/>
          <w:u w:val="single"/>
        </w:rPr>
        <w:t>年*月*日起至202</w:t>
      </w:r>
      <w:r>
        <w:rPr>
          <w:rFonts w:hint="eastAsia" w:asciiTheme="minorEastAsia" w:hAnsiTheme="minorEastAsia" w:eastAsiaTheme="minorEastAsia" w:cstheme="minorEastAsia"/>
          <w:sz w:val="24"/>
          <w:szCs w:val="24"/>
          <w:u w:val="single"/>
          <w:lang w:val="en-US" w:eastAsia="zh-CN"/>
        </w:rPr>
        <w:t>4</w:t>
      </w:r>
      <w:r>
        <w:rPr>
          <w:rFonts w:hint="eastAsia" w:asciiTheme="minorEastAsia" w:hAnsiTheme="minorEastAsia" w:eastAsiaTheme="minorEastAsia" w:cstheme="minorEastAsia"/>
          <w:sz w:val="24"/>
          <w:szCs w:val="24"/>
          <w:u w:val="single"/>
        </w:rPr>
        <w:t>年*月*日</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bidi w:val="0"/>
        <w:snapToGrid/>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甲方：方大新材料（江西）有限公司               乙方： </w:t>
      </w:r>
    </w:p>
    <w:p>
      <w:pPr>
        <w:keepNext w:val="0"/>
        <w:keepLines w:val="0"/>
        <w:pageBreakBefore w:val="0"/>
        <w:widowControl w:val="0"/>
        <w:kinsoku/>
        <w:wordWrap/>
        <w:overflowPunct/>
        <w:topLinePunct w:val="0"/>
        <w:bidi w:val="0"/>
        <w:snapToGrid/>
        <w:spacing w:line="360" w:lineRule="auto"/>
        <w:ind w:left="435"/>
        <w:jc w:val="left"/>
        <w:rPr>
          <w:rFonts w:hint="eastAsia" w:asciiTheme="minorEastAsia" w:hAnsiTheme="minorEastAsia" w:eastAsiaTheme="minorEastAsia" w:cstheme="minorEastAsia"/>
          <w:b/>
          <w:bCs/>
          <w:sz w:val="24"/>
          <w:szCs w:val="24"/>
        </w:rPr>
      </w:pPr>
    </w:p>
    <w:p>
      <w:pPr>
        <w:keepNext w:val="0"/>
        <w:keepLines w:val="0"/>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签字盖章：                                     签字盖章：</w:t>
      </w:r>
    </w:p>
    <w:p>
      <w:pPr>
        <w:keepNext w:val="0"/>
        <w:keepLines w:val="0"/>
        <w:pageBreakBefore w:val="0"/>
        <w:widowControl w:val="0"/>
        <w:kinsoku/>
        <w:wordWrap/>
        <w:overflowPunct/>
        <w:topLinePunct w:val="0"/>
        <w:bidi w:val="0"/>
        <w:snapToGrid/>
        <w:spacing w:line="360" w:lineRule="auto"/>
        <w:jc w:val="left"/>
        <w:outlineLvl w:val="1"/>
        <w:rPr>
          <w:rStyle w:val="10"/>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bidi w:val="0"/>
        <w:snapToGrid/>
        <w:spacing w:line="360" w:lineRule="auto"/>
        <w:jc w:val="left"/>
        <w:outlineLvl w:val="1"/>
        <w:rPr>
          <w:rStyle w:val="10"/>
          <w:rFonts w:hint="eastAsia" w:asciiTheme="minorEastAsia" w:hAnsiTheme="minorEastAsia" w:eastAsiaTheme="minorEastAsia" w:cstheme="minorEastAsia"/>
          <w:b w:val="0"/>
          <w:bCs w:val="0"/>
          <w:sz w:val="24"/>
          <w:szCs w:val="24"/>
        </w:rPr>
      </w:pPr>
      <w:r>
        <w:rPr>
          <w:rStyle w:val="10"/>
          <w:rFonts w:hint="eastAsia" w:asciiTheme="minorEastAsia" w:hAnsiTheme="minorEastAsia" w:eastAsiaTheme="minorEastAsia" w:cstheme="minorEastAsia"/>
          <w:b w:val="0"/>
          <w:bCs w:val="0"/>
          <w:sz w:val="24"/>
          <w:szCs w:val="24"/>
        </w:rPr>
        <w:t>日期：                                   日期：</w:t>
      </w:r>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附件七</w:t>
      </w:r>
    </w:p>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招标文件合同范本确认函</w:t>
      </w:r>
    </w:p>
    <w:p>
      <w:pPr>
        <w:pStyle w:val="2"/>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致：方大新材料（江西）有限公司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我司同意并确认若成为中标单位，将按照</w:t>
      </w:r>
      <w:r>
        <w:rPr>
          <w:rFonts w:hint="eastAsia" w:asciiTheme="minorEastAsia" w:hAnsiTheme="minorEastAsia" w:eastAsiaTheme="minorEastAsia" w:cstheme="minorEastAsia"/>
          <w:color w:val="00B050"/>
          <w:sz w:val="28"/>
          <w:szCs w:val="28"/>
        </w:rPr>
        <w:t>方大新材料（江西）有限公司202</w:t>
      </w:r>
      <w:r>
        <w:rPr>
          <w:rFonts w:hint="eastAsia" w:asciiTheme="minorEastAsia" w:hAnsiTheme="minorEastAsia" w:eastAsiaTheme="minorEastAsia" w:cstheme="minorEastAsia"/>
          <w:color w:val="00B050"/>
          <w:sz w:val="28"/>
          <w:szCs w:val="28"/>
          <w:lang w:val="en-US" w:eastAsia="zh-CN"/>
        </w:rPr>
        <w:t>3</w:t>
      </w:r>
      <w:r>
        <w:rPr>
          <w:rFonts w:hint="eastAsia" w:asciiTheme="minorEastAsia" w:hAnsiTheme="minorEastAsia" w:eastAsiaTheme="minorEastAsia" w:cstheme="minorEastAsia"/>
          <w:color w:val="00B050"/>
          <w:sz w:val="28"/>
          <w:szCs w:val="28"/>
        </w:rPr>
        <w:t>-202</w:t>
      </w:r>
      <w:r>
        <w:rPr>
          <w:rFonts w:hint="eastAsia" w:asciiTheme="minorEastAsia" w:hAnsiTheme="minorEastAsia" w:eastAsiaTheme="minorEastAsia" w:cstheme="minorEastAsia"/>
          <w:color w:val="00B050"/>
          <w:sz w:val="28"/>
          <w:szCs w:val="28"/>
          <w:lang w:val="en-US" w:eastAsia="zh-CN"/>
        </w:rPr>
        <w:t>4</w:t>
      </w:r>
      <w:r>
        <w:rPr>
          <w:rFonts w:hint="eastAsia" w:asciiTheme="minorEastAsia" w:hAnsiTheme="minorEastAsia" w:eastAsiaTheme="minorEastAsia" w:cstheme="minorEastAsia"/>
          <w:color w:val="00B050"/>
          <w:sz w:val="28"/>
          <w:szCs w:val="28"/>
        </w:rPr>
        <w:t>年度铝板采购</w:t>
      </w:r>
      <w:r>
        <w:rPr>
          <w:rFonts w:hint="eastAsia" w:asciiTheme="minorEastAsia" w:hAnsiTheme="minorEastAsia" w:eastAsiaTheme="minorEastAsia" w:cstheme="minorEastAsia"/>
          <w:sz w:val="28"/>
          <w:szCs w:val="28"/>
        </w:rPr>
        <w:t>招标文件附件</w:t>
      </w:r>
      <w:r>
        <w:rPr>
          <w:rFonts w:hint="eastAsia" w:asciiTheme="minorEastAsia" w:hAnsiTheme="minorEastAsia" w:eastAsiaTheme="minorEastAsia" w:cstheme="minorEastAsia"/>
          <w:color w:val="00B050"/>
          <w:sz w:val="28"/>
          <w:szCs w:val="28"/>
        </w:rPr>
        <w:t>六《铝板年度购销协议》</w:t>
      </w:r>
      <w:r>
        <w:rPr>
          <w:rFonts w:hint="eastAsia" w:asciiTheme="minorEastAsia" w:hAnsiTheme="minorEastAsia" w:eastAsiaTheme="minorEastAsia" w:cstheme="minorEastAsia"/>
          <w:sz w:val="28"/>
          <w:szCs w:val="28"/>
        </w:rPr>
        <w:t>与贵司签署合作合同。任何对合同范本的修改意见，除非获得贵司的同意，否则不予修改。若中标后，我司拒绝与贵司签订合同，贵司有权没收投标保证金，并做废标处理。</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2310" w:firstLineChars="8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确认人：（法定代表人或法定代表人授权人）</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8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签字：</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8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企业公章：</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8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日期：</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日</w:t>
      </w:r>
    </w:p>
    <w:p/>
    <w:p>
      <w:pPr>
        <w:spacing w:line="360" w:lineRule="auto"/>
        <w:ind w:firstLine="480"/>
        <w:rPr>
          <w:rFonts w:ascii="宋体" w:hAnsi="宋体"/>
          <w:kern w:val="18"/>
          <w:sz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 xml:space="preserve">附件八：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铝板原材料木架来料规范</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目的</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本规定在于要求钣金原材料供应商的木托质量与摆放要求，从而确保木托质量能满足我司储存及搬运过程中质量和安全要求；</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基本要求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2.1、木材干燥/外观无明显瑕疵，在合理的吊装和运输过程中，木托应该保证不开裂，不破裂；</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目前供应商的货物图片（不符合）</w:t>
      </w:r>
    </w:p>
    <w:p>
      <w:pPr>
        <w:jc w:val="left"/>
        <w:rPr>
          <w:sz w:val="30"/>
          <w:szCs w:val="30"/>
        </w:rPr>
      </w:pPr>
      <w:r>
        <w:drawing>
          <wp:inline distT="0" distB="0" distL="114300" distR="114300">
            <wp:extent cx="3040380" cy="1993900"/>
            <wp:effectExtent l="0" t="0" r="762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3040380" cy="199390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4、目前供应商的图片（符合要求）</w:t>
      </w:r>
    </w:p>
    <w:p>
      <w:pPr>
        <w:jc w:val="left"/>
      </w:pPr>
      <w:r>
        <w:drawing>
          <wp:inline distT="0" distB="0" distL="114300" distR="114300">
            <wp:extent cx="2993390" cy="2339975"/>
            <wp:effectExtent l="0" t="0" r="16510"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2993390" cy="2339975"/>
                    </a:xfrm>
                    <a:prstGeom prst="rect">
                      <a:avLst/>
                    </a:prstGeom>
                    <a:noFill/>
                    <a:ln>
                      <a:noFill/>
                    </a:ln>
                  </pic:spPr>
                </pic:pic>
              </a:graphicData>
            </a:graphic>
          </wp:inline>
        </w:drawing>
      </w:r>
    </w:p>
    <w:p>
      <w:pPr>
        <w:jc w:val="left"/>
      </w:pPr>
    </w:p>
    <w:p>
      <w:pPr>
        <w:jc w:val="left"/>
        <w:rPr>
          <w:b/>
          <w:bCs/>
          <w:sz w:val="28"/>
          <w:szCs w:val="28"/>
        </w:rPr>
      </w:pPr>
      <w:r>
        <w:rPr>
          <w:rFonts w:hint="eastAsia"/>
          <w:b/>
          <w:bCs/>
          <w:sz w:val="28"/>
          <w:szCs w:val="28"/>
        </w:rPr>
        <w:t>5、检验要求</w:t>
      </w:r>
    </w:p>
    <w:tbl>
      <w:tblPr>
        <w:tblStyle w:val="7"/>
        <w:tblW w:w="9618"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106"/>
        <w:gridCol w:w="3713"/>
        <w:gridCol w:w="3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81" w:type="dxa"/>
            <w:vAlign w:val="center"/>
          </w:tcPr>
          <w:p>
            <w:pPr>
              <w:jc w:val="center"/>
              <w:rPr>
                <w:b/>
                <w:bCs/>
                <w:sz w:val="30"/>
                <w:szCs w:val="30"/>
              </w:rPr>
            </w:pPr>
            <w:r>
              <w:rPr>
                <w:rFonts w:hint="eastAsia"/>
                <w:b/>
                <w:bCs/>
                <w:sz w:val="30"/>
                <w:szCs w:val="30"/>
              </w:rPr>
              <w:t>序号</w:t>
            </w:r>
          </w:p>
        </w:tc>
        <w:tc>
          <w:tcPr>
            <w:tcW w:w="1106" w:type="dxa"/>
            <w:vAlign w:val="center"/>
          </w:tcPr>
          <w:p>
            <w:pPr>
              <w:jc w:val="center"/>
              <w:rPr>
                <w:b/>
                <w:bCs/>
                <w:sz w:val="30"/>
                <w:szCs w:val="30"/>
              </w:rPr>
            </w:pPr>
            <w:r>
              <w:rPr>
                <w:rFonts w:hint="eastAsia"/>
                <w:b/>
                <w:bCs/>
                <w:sz w:val="30"/>
                <w:szCs w:val="30"/>
              </w:rPr>
              <w:t>类型</w:t>
            </w:r>
          </w:p>
        </w:tc>
        <w:tc>
          <w:tcPr>
            <w:tcW w:w="3713" w:type="dxa"/>
            <w:vAlign w:val="center"/>
          </w:tcPr>
          <w:p>
            <w:pPr>
              <w:jc w:val="center"/>
              <w:rPr>
                <w:b/>
                <w:bCs/>
                <w:sz w:val="30"/>
                <w:szCs w:val="30"/>
              </w:rPr>
            </w:pPr>
            <w:r>
              <w:rPr>
                <w:rFonts w:hint="eastAsia"/>
                <w:b/>
                <w:bCs/>
                <w:sz w:val="30"/>
                <w:szCs w:val="30"/>
              </w:rPr>
              <w:t>判断标准</w:t>
            </w:r>
          </w:p>
        </w:tc>
        <w:tc>
          <w:tcPr>
            <w:tcW w:w="3918" w:type="dxa"/>
            <w:vAlign w:val="center"/>
          </w:tcPr>
          <w:p>
            <w:pPr>
              <w:jc w:val="center"/>
              <w:rPr>
                <w:b/>
                <w:bCs/>
                <w:sz w:val="30"/>
                <w:szCs w:val="30"/>
              </w:rPr>
            </w:pPr>
            <w:r>
              <w:rPr>
                <w:rFonts w:hint="eastAsia"/>
                <w:b/>
                <w:bCs/>
                <w:sz w:val="30"/>
                <w:szCs w:val="30"/>
              </w:rPr>
              <w:t>不符合图片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4" w:hRule="atLeast"/>
        </w:trPr>
        <w:tc>
          <w:tcPr>
            <w:tcW w:w="881" w:type="dxa"/>
            <w:vAlign w:val="center"/>
          </w:tcPr>
          <w:p>
            <w:pPr>
              <w:jc w:val="center"/>
              <w:rPr>
                <w:b/>
                <w:bCs/>
                <w:sz w:val="30"/>
                <w:szCs w:val="30"/>
              </w:rPr>
            </w:pPr>
            <w:r>
              <w:rPr>
                <w:rFonts w:hint="eastAsia"/>
                <w:b/>
                <w:bCs/>
                <w:sz w:val="30"/>
                <w:szCs w:val="30"/>
              </w:rPr>
              <w:t>1</w:t>
            </w:r>
          </w:p>
        </w:tc>
        <w:tc>
          <w:tcPr>
            <w:tcW w:w="1106" w:type="dxa"/>
            <w:vAlign w:val="center"/>
          </w:tcPr>
          <w:p>
            <w:pPr>
              <w:jc w:val="center"/>
              <w:rPr>
                <w:sz w:val="28"/>
                <w:szCs w:val="28"/>
              </w:rPr>
            </w:pPr>
            <w:r>
              <w:rPr>
                <w:rFonts w:hint="eastAsia"/>
                <w:sz w:val="28"/>
                <w:szCs w:val="28"/>
              </w:rPr>
              <w:t>宽度</w:t>
            </w:r>
          </w:p>
        </w:tc>
        <w:tc>
          <w:tcPr>
            <w:tcW w:w="3713" w:type="dxa"/>
            <w:vAlign w:val="center"/>
          </w:tcPr>
          <w:p>
            <w:pPr>
              <w:jc w:val="left"/>
              <w:rPr>
                <w:sz w:val="28"/>
                <w:szCs w:val="28"/>
              </w:rPr>
            </w:pPr>
            <w:r>
              <w:rPr>
                <w:rFonts w:hint="eastAsia"/>
                <w:sz w:val="28"/>
                <w:szCs w:val="28"/>
              </w:rPr>
              <w:t>木托的宽度应根据板材的宽度来制定，即：</w:t>
            </w:r>
          </w:p>
          <w:p>
            <w:pPr>
              <w:jc w:val="left"/>
              <w:rPr>
                <w:sz w:val="28"/>
                <w:szCs w:val="28"/>
              </w:rPr>
            </w:pPr>
            <w:r>
              <w:rPr>
                <w:rFonts w:hint="eastAsia"/>
                <w:sz w:val="28"/>
                <w:szCs w:val="28"/>
              </w:rPr>
              <w:t>木托宽度等于板材宽度（特殊的板材宽度不能超出木托20cm）</w:t>
            </w:r>
          </w:p>
        </w:tc>
        <w:tc>
          <w:tcPr>
            <w:tcW w:w="3918" w:type="dxa"/>
            <w:vAlign w:val="center"/>
          </w:tcPr>
          <w:p>
            <w:pPr>
              <w:jc w:val="center"/>
              <w:rPr>
                <w:sz w:val="28"/>
                <w:szCs w:val="28"/>
              </w:rPr>
            </w:pPr>
            <w:r>
              <w:rPr>
                <w:rFonts w:ascii="宋体" w:hAnsi="宋体" w:cs="宋体"/>
                <w:sz w:val="24"/>
                <w:szCs w:val="24"/>
              </w:rPr>
              <w:fldChar w:fldCharType="begin"/>
            </w:r>
            <w:r>
              <w:rPr>
                <w:rFonts w:ascii="宋体" w:hAnsi="宋体" w:cs="宋体"/>
                <w:sz w:val="24"/>
                <w:szCs w:val="24"/>
              </w:rPr>
              <w:instrText xml:space="preserve">INCLUDEPICTURE \d "C:\\Users\\043219\\Documents\\WXWork\\1688852034929740\\Cache\\Image\\2021-04\\edcf08ccdd8135e2f69682ea6fa7a089.jpg" \* MERGEFORMATINET </w:instrText>
            </w:r>
            <w:r>
              <w:rPr>
                <w:rFonts w:ascii="宋体" w:hAnsi="宋体" w:cs="宋体"/>
                <w:sz w:val="24"/>
                <w:szCs w:val="24"/>
              </w:rPr>
              <w:fldChar w:fldCharType="separate"/>
            </w:r>
            <w:r>
              <w:rPr>
                <w:rFonts w:ascii="宋体" w:hAnsi="宋体" w:cs="宋体"/>
                <w:sz w:val="24"/>
                <w:szCs w:val="24"/>
              </w:rPr>
              <w:drawing>
                <wp:inline distT="0" distB="0" distL="114300" distR="114300">
                  <wp:extent cx="2186940" cy="1872615"/>
                  <wp:effectExtent l="0" t="0" r="3810" b="1333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6"/>
                          <a:stretch>
                            <a:fillRect/>
                          </a:stretch>
                        </pic:blipFill>
                        <pic:spPr>
                          <a:xfrm>
                            <a:off x="0" y="0"/>
                            <a:ext cx="2186940" cy="1872615"/>
                          </a:xfrm>
                          <a:prstGeom prst="rect">
                            <a:avLst/>
                          </a:prstGeom>
                          <a:noFill/>
                          <a:ln>
                            <a:noFill/>
                          </a:ln>
                        </pic:spPr>
                      </pic:pic>
                    </a:graphicData>
                  </a:graphic>
                </wp:inline>
              </w:drawing>
            </w:r>
            <w:r>
              <w:rPr>
                <w:rFonts w:ascii="宋体" w:hAnsi="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881" w:type="dxa"/>
            <w:vAlign w:val="center"/>
          </w:tcPr>
          <w:p>
            <w:pPr>
              <w:jc w:val="center"/>
              <w:rPr>
                <w:b/>
                <w:bCs/>
                <w:sz w:val="30"/>
                <w:szCs w:val="30"/>
              </w:rPr>
            </w:pPr>
            <w:r>
              <w:rPr>
                <w:rFonts w:hint="eastAsia"/>
                <w:b/>
                <w:bCs/>
                <w:sz w:val="30"/>
                <w:szCs w:val="30"/>
              </w:rPr>
              <w:t>2</w:t>
            </w:r>
          </w:p>
        </w:tc>
        <w:tc>
          <w:tcPr>
            <w:tcW w:w="1106" w:type="dxa"/>
            <w:vAlign w:val="center"/>
          </w:tcPr>
          <w:p>
            <w:pPr>
              <w:jc w:val="center"/>
              <w:rPr>
                <w:sz w:val="28"/>
                <w:szCs w:val="28"/>
              </w:rPr>
            </w:pPr>
            <w:r>
              <w:rPr>
                <w:rFonts w:hint="eastAsia"/>
                <w:sz w:val="28"/>
                <w:szCs w:val="28"/>
              </w:rPr>
              <w:t>长度</w:t>
            </w:r>
          </w:p>
        </w:tc>
        <w:tc>
          <w:tcPr>
            <w:tcW w:w="3713" w:type="dxa"/>
            <w:vAlign w:val="center"/>
          </w:tcPr>
          <w:p>
            <w:pPr>
              <w:jc w:val="left"/>
              <w:rPr>
                <w:sz w:val="28"/>
                <w:szCs w:val="28"/>
              </w:rPr>
            </w:pPr>
            <w:r>
              <w:rPr>
                <w:rFonts w:hint="eastAsia"/>
                <w:sz w:val="28"/>
                <w:szCs w:val="28"/>
              </w:rPr>
              <w:t>木托的长度应根据板材的宽长度来制定，即：</w:t>
            </w:r>
          </w:p>
          <w:p>
            <w:pPr>
              <w:rPr>
                <w:sz w:val="28"/>
                <w:szCs w:val="28"/>
              </w:rPr>
            </w:pPr>
            <w:r>
              <w:rPr>
                <w:rFonts w:hint="eastAsia"/>
                <w:sz w:val="28"/>
                <w:szCs w:val="28"/>
              </w:rPr>
              <w:t>木托宽度等于板材长度（特殊的板材长度不能超出木托20cm）</w:t>
            </w:r>
          </w:p>
        </w:tc>
        <w:tc>
          <w:tcPr>
            <w:tcW w:w="3918" w:type="dxa"/>
            <w:vAlign w:val="center"/>
          </w:tcPr>
          <w:p>
            <w:pPr>
              <w:jc w:val="center"/>
              <w:rPr>
                <w:sz w:val="28"/>
                <w:szCs w:val="28"/>
              </w:rPr>
            </w:pPr>
            <w:r>
              <w:drawing>
                <wp:inline distT="0" distB="0" distL="114300" distR="114300">
                  <wp:extent cx="2275205" cy="1801495"/>
                  <wp:effectExtent l="0" t="0" r="1079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2275205" cy="1801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881" w:type="dxa"/>
            <w:vAlign w:val="center"/>
          </w:tcPr>
          <w:p>
            <w:pPr>
              <w:jc w:val="center"/>
              <w:rPr>
                <w:b/>
                <w:bCs/>
                <w:sz w:val="30"/>
                <w:szCs w:val="30"/>
              </w:rPr>
            </w:pPr>
            <w:r>
              <w:rPr>
                <w:rFonts w:hint="eastAsia"/>
                <w:b/>
                <w:bCs/>
                <w:sz w:val="30"/>
                <w:szCs w:val="30"/>
              </w:rPr>
              <w:t>3</w:t>
            </w:r>
          </w:p>
        </w:tc>
        <w:tc>
          <w:tcPr>
            <w:tcW w:w="1106" w:type="dxa"/>
            <w:vAlign w:val="center"/>
          </w:tcPr>
          <w:p>
            <w:pPr>
              <w:jc w:val="center"/>
              <w:rPr>
                <w:sz w:val="28"/>
                <w:szCs w:val="28"/>
              </w:rPr>
            </w:pPr>
            <w:r>
              <w:rPr>
                <w:rFonts w:hint="eastAsia"/>
                <w:sz w:val="28"/>
                <w:szCs w:val="28"/>
              </w:rPr>
              <w:t>摆放</w:t>
            </w:r>
          </w:p>
        </w:tc>
        <w:tc>
          <w:tcPr>
            <w:tcW w:w="3713" w:type="dxa"/>
            <w:vAlign w:val="center"/>
          </w:tcPr>
          <w:p>
            <w:pPr>
              <w:jc w:val="left"/>
              <w:rPr>
                <w:sz w:val="28"/>
                <w:szCs w:val="28"/>
              </w:rPr>
            </w:pPr>
            <w:r>
              <w:rPr>
                <w:rFonts w:hint="eastAsia"/>
                <w:sz w:val="28"/>
                <w:szCs w:val="28"/>
              </w:rPr>
              <w:t>同一木托上，严禁放置尺寸相差较大的板材超过三种（长宽不得超出50cm），且依据数量合理放置，木托尺寸要按板材最大尺寸。</w:t>
            </w:r>
          </w:p>
        </w:tc>
        <w:tc>
          <w:tcPr>
            <w:tcW w:w="3918" w:type="dxa"/>
            <w:vAlign w:val="center"/>
          </w:tcPr>
          <w:p>
            <w:pPr>
              <w:jc w:val="center"/>
              <w:rPr>
                <w:sz w:val="28"/>
                <w:szCs w:val="28"/>
              </w:rPr>
            </w:pPr>
            <w:r>
              <w:rPr>
                <w:rFonts w:ascii="宋体" w:hAnsi="宋体" w:cs="宋体"/>
                <w:sz w:val="24"/>
                <w:szCs w:val="24"/>
              </w:rPr>
              <w:fldChar w:fldCharType="begin"/>
            </w:r>
            <w:r>
              <w:rPr>
                <w:rFonts w:ascii="宋体" w:hAnsi="宋体" w:cs="宋体"/>
                <w:sz w:val="24"/>
                <w:szCs w:val="24"/>
              </w:rPr>
              <w:instrText xml:space="preserve">INCLUDEPICTURE \d "C:\\Users\\043219\\Documents\\WXWork\\1688852034929740\\Cache\\Image\\2021-04\\d48e9a46f0cf79173bc515a14e58d8ed.jpg" \* MERGEFORMATINET </w:instrText>
            </w:r>
            <w:r>
              <w:rPr>
                <w:rFonts w:ascii="宋体" w:hAnsi="宋体" w:cs="宋体"/>
                <w:sz w:val="24"/>
                <w:szCs w:val="24"/>
              </w:rPr>
              <w:fldChar w:fldCharType="separate"/>
            </w:r>
            <w:r>
              <w:rPr>
                <w:rFonts w:ascii="宋体" w:hAnsi="宋体" w:cs="宋体"/>
                <w:sz w:val="24"/>
                <w:szCs w:val="24"/>
              </w:rPr>
              <w:drawing>
                <wp:inline distT="0" distB="0" distL="114300" distR="114300">
                  <wp:extent cx="2407285" cy="1805305"/>
                  <wp:effectExtent l="0" t="0" r="12065" b="444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8"/>
                          <a:stretch>
                            <a:fillRect/>
                          </a:stretch>
                        </pic:blipFill>
                        <pic:spPr>
                          <a:xfrm>
                            <a:off x="0" y="0"/>
                            <a:ext cx="2407285" cy="1805305"/>
                          </a:xfrm>
                          <a:prstGeom prst="rect">
                            <a:avLst/>
                          </a:prstGeom>
                          <a:noFill/>
                          <a:ln>
                            <a:noFill/>
                          </a:ln>
                        </pic:spPr>
                      </pic:pic>
                    </a:graphicData>
                  </a:graphic>
                </wp:inline>
              </w:drawing>
            </w:r>
            <w:r>
              <w:rPr>
                <w:rFonts w:ascii="宋体" w:hAnsi="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trPr>
        <w:tc>
          <w:tcPr>
            <w:tcW w:w="881" w:type="dxa"/>
            <w:vAlign w:val="center"/>
          </w:tcPr>
          <w:p>
            <w:pPr>
              <w:jc w:val="center"/>
              <w:rPr>
                <w:b/>
                <w:bCs/>
                <w:sz w:val="30"/>
                <w:szCs w:val="30"/>
              </w:rPr>
            </w:pPr>
            <w:r>
              <w:rPr>
                <w:rFonts w:hint="eastAsia"/>
                <w:b/>
                <w:bCs/>
                <w:sz w:val="30"/>
                <w:szCs w:val="30"/>
              </w:rPr>
              <w:t>4</w:t>
            </w:r>
          </w:p>
        </w:tc>
        <w:tc>
          <w:tcPr>
            <w:tcW w:w="1106" w:type="dxa"/>
            <w:vAlign w:val="center"/>
          </w:tcPr>
          <w:p>
            <w:pPr>
              <w:jc w:val="center"/>
              <w:rPr>
                <w:sz w:val="28"/>
                <w:szCs w:val="28"/>
              </w:rPr>
            </w:pPr>
            <w:r>
              <w:rPr>
                <w:rFonts w:hint="eastAsia"/>
                <w:sz w:val="28"/>
                <w:szCs w:val="28"/>
              </w:rPr>
              <w:t>木托 质量</w:t>
            </w:r>
          </w:p>
        </w:tc>
        <w:tc>
          <w:tcPr>
            <w:tcW w:w="3713" w:type="dxa"/>
            <w:vAlign w:val="center"/>
          </w:tcPr>
          <w:p>
            <w:pPr>
              <w:jc w:val="left"/>
              <w:rPr>
                <w:sz w:val="28"/>
                <w:szCs w:val="28"/>
              </w:rPr>
            </w:pPr>
            <w:r>
              <w:rPr>
                <w:rFonts w:hint="eastAsia"/>
                <w:sz w:val="30"/>
                <w:szCs w:val="30"/>
              </w:rPr>
              <w:t>在合理的吊装和运输过程中，木托应该保证不开裂，不破裂，不散架；</w:t>
            </w:r>
          </w:p>
        </w:tc>
        <w:tc>
          <w:tcPr>
            <w:tcW w:w="3918" w:type="dxa"/>
            <w:vAlign w:val="center"/>
          </w:tcPr>
          <w:p>
            <w:pPr>
              <w:jc w:val="center"/>
              <w:rPr>
                <w:sz w:val="28"/>
                <w:szCs w:val="28"/>
              </w:rPr>
            </w:pPr>
            <w:r>
              <w:rPr>
                <w:rFonts w:ascii="楷体_GB2312" w:eastAsia="楷体_GB2312"/>
                <w:color w:val="000000"/>
                <w:sz w:val="28"/>
                <w:szCs w:val="28"/>
              </w:rPr>
              <w:drawing>
                <wp:inline distT="0" distB="0" distL="114300" distR="114300">
                  <wp:extent cx="2216785" cy="1428115"/>
                  <wp:effectExtent l="0" t="0" r="12065" b="635"/>
                  <wp:docPr id="2" name="图片 7" descr="C:\Users\040490\Desktop\IMG_20210225_09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040490\Desktop\IMG_20210225_091737.jpg"/>
                          <pic:cNvPicPr>
                            <a:picLocks noChangeAspect="1"/>
                          </pic:cNvPicPr>
                        </pic:nvPicPr>
                        <pic:blipFill>
                          <a:blip r:embed="rId9"/>
                          <a:stretch>
                            <a:fillRect/>
                          </a:stretch>
                        </pic:blipFill>
                        <pic:spPr>
                          <a:xfrm>
                            <a:off x="0" y="0"/>
                            <a:ext cx="2216785" cy="1428115"/>
                          </a:xfrm>
                          <a:prstGeom prst="rect">
                            <a:avLst/>
                          </a:prstGeom>
                          <a:noFill/>
                          <a:ln>
                            <a:noFill/>
                          </a:ln>
                        </pic:spPr>
                      </pic:pic>
                    </a:graphicData>
                  </a:graphic>
                </wp:inline>
              </w:drawing>
            </w:r>
          </w:p>
        </w:tc>
      </w:tr>
    </w:tbl>
    <w:p>
      <w:pPr>
        <w:jc w:val="left"/>
      </w:pP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42053B"/>
    <w:multiLevelType w:val="multilevel"/>
    <w:tmpl w:val="1342053B"/>
    <w:lvl w:ilvl="0" w:tentative="0">
      <w:start w:val="4"/>
      <w:numFmt w:val="japaneseCounting"/>
      <w:lvlText w:val="%1、"/>
      <w:lvlJc w:val="left"/>
      <w:pPr>
        <w:ind w:left="510" w:hanging="51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1FC4678F"/>
    <w:multiLevelType w:val="multilevel"/>
    <w:tmpl w:val="1FC4678F"/>
    <w:lvl w:ilvl="0" w:tentative="0">
      <w:start w:val="1"/>
      <w:numFmt w:val="chineseCounting"/>
      <w:suff w:val="nothing"/>
      <w:lvlText w:val="%1、"/>
      <w:lvlJc w:val="left"/>
      <w:pPr>
        <w:ind w:left="0" w:firstLine="42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EC2B23F"/>
    <w:multiLevelType w:val="singleLevel"/>
    <w:tmpl w:val="2EC2B23F"/>
    <w:lvl w:ilvl="0" w:tentative="0">
      <w:start w:val="1"/>
      <w:numFmt w:val="decimal"/>
      <w:suff w:val="nothing"/>
      <w:lvlText w:val="%1、"/>
      <w:lvlJc w:val="left"/>
    </w:lvl>
  </w:abstractNum>
  <w:abstractNum w:abstractNumId="3">
    <w:nsid w:val="4C57FFA9"/>
    <w:multiLevelType w:val="singleLevel"/>
    <w:tmpl w:val="4C57FFA9"/>
    <w:lvl w:ilvl="0" w:tentative="0">
      <w:start w:val="1"/>
      <w:numFmt w:val="decimal"/>
      <w:suff w:val="nothing"/>
      <w:lvlText w:val="%1、"/>
      <w:lvlJc w:val="left"/>
    </w:lvl>
  </w:abstractNum>
  <w:abstractNum w:abstractNumId="4">
    <w:nsid w:val="635E5E2E"/>
    <w:multiLevelType w:val="multilevel"/>
    <w:tmpl w:val="635E5E2E"/>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
    <w:nsid w:val="69EF5302"/>
    <w:multiLevelType w:val="multilevel"/>
    <w:tmpl w:val="69EF530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0ZTViOWViOGZhYzNjNWVmMjYwY2E4ZjVjMDdjOWUifQ=="/>
  </w:docVars>
  <w:rsids>
    <w:rsidRoot w:val="00755728"/>
    <w:rsid w:val="000B0371"/>
    <w:rsid w:val="000C6817"/>
    <w:rsid w:val="0011198D"/>
    <w:rsid w:val="001950F2"/>
    <w:rsid w:val="00232407"/>
    <w:rsid w:val="003C2171"/>
    <w:rsid w:val="003D0B84"/>
    <w:rsid w:val="004013DA"/>
    <w:rsid w:val="00442AE8"/>
    <w:rsid w:val="00487BA1"/>
    <w:rsid w:val="004A0E1F"/>
    <w:rsid w:val="004E4FD9"/>
    <w:rsid w:val="005836D5"/>
    <w:rsid w:val="005C5A50"/>
    <w:rsid w:val="006300BA"/>
    <w:rsid w:val="00663B56"/>
    <w:rsid w:val="00670FB4"/>
    <w:rsid w:val="006760C7"/>
    <w:rsid w:val="006A3193"/>
    <w:rsid w:val="006D5180"/>
    <w:rsid w:val="00755728"/>
    <w:rsid w:val="00774A98"/>
    <w:rsid w:val="00784FAA"/>
    <w:rsid w:val="00807508"/>
    <w:rsid w:val="00831A3A"/>
    <w:rsid w:val="00875350"/>
    <w:rsid w:val="00987A3A"/>
    <w:rsid w:val="00993B75"/>
    <w:rsid w:val="009A1231"/>
    <w:rsid w:val="009F6779"/>
    <w:rsid w:val="00A14EBD"/>
    <w:rsid w:val="00A34662"/>
    <w:rsid w:val="00A8012C"/>
    <w:rsid w:val="00A842B4"/>
    <w:rsid w:val="00A94E99"/>
    <w:rsid w:val="00B44925"/>
    <w:rsid w:val="00C45BE4"/>
    <w:rsid w:val="00C95920"/>
    <w:rsid w:val="00CE0D31"/>
    <w:rsid w:val="00D30EBD"/>
    <w:rsid w:val="00D96070"/>
    <w:rsid w:val="00D9719F"/>
    <w:rsid w:val="00DB1F47"/>
    <w:rsid w:val="00E207BF"/>
    <w:rsid w:val="00E62329"/>
    <w:rsid w:val="00F271A8"/>
    <w:rsid w:val="00F46F29"/>
    <w:rsid w:val="00F86B7C"/>
    <w:rsid w:val="071267F3"/>
    <w:rsid w:val="084D23C1"/>
    <w:rsid w:val="1244634C"/>
    <w:rsid w:val="124B6C93"/>
    <w:rsid w:val="14C8019E"/>
    <w:rsid w:val="164E46EC"/>
    <w:rsid w:val="16745391"/>
    <w:rsid w:val="1ABE2A6F"/>
    <w:rsid w:val="1E677D6B"/>
    <w:rsid w:val="1ED071B2"/>
    <w:rsid w:val="1ED152A1"/>
    <w:rsid w:val="24193A93"/>
    <w:rsid w:val="242F2C84"/>
    <w:rsid w:val="28C150D4"/>
    <w:rsid w:val="2A0B36DA"/>
    <w:rsid w:val="2AE53868"/>
    <w:rsid w:val="2B10322F"/>
    <w:rsid w:val="2D5A51C9"/>
    <w:rsid w:val="310F0B78"/>
    <w:rsid w:val="36973BEF"/>
    <w:rsid w:val="382C2097"/>
    <w:rsid w:val="391F786D"/>
    <w:rsid w:val="3BAF3AB9"/>
    <w:rsid w:val="3C514B15"/>
    <w:rsid w:val="3CF03246"/>
    <w:rsid w:val="3EEC446B"/>
    <w:rsid w:val="3F694DAF"/>
    <w:rsid w:val="3FE85BFD"/>
    <w:rsid w:val="43963069"/>
    <w:rsid w:val="48724A77"/>
    <w:rsid w:val="49E02303"/>
    <w:rsid w:val="4B172B11"/>
    <w:rsid w:val="4CF505A0"/>
    <w:rsid w:val="520968C4"/>
    <w:rsid w:val="53A279F6"/>
    <w:rsid w:val="543F4EE9"/>
    <w:rsid w:val="55104F8F"/>
    <w:rsid w:val="5668069D"/>
    <w:rsid w:val="59C85F9C"/>
    <w:rsid w:val="5CD34199"/>
    <w:rsid w:val="5F674730"/>
    <w:rsid w:val="633A61FE"/>
    <w:rsid w:val="67551F84"/>
    <w:rsid w:val="69E3590E"/>
    <w:rsid w:val="6CC32697"/>
    <w:rsid w:val="6E4A5383"/>
    <w:rsid w:val="74112FCA"/>
    <w:rsid w:val="74300521"/>
    <w:rsid w:val="78DD35B4"/>
    <w:rsid w:val="7BEF080A"/>
    <w:rsid w:val="7D2D4099"/>
    <w:rsid w:val="7F2E6713"/>
    <w:rsid w:val="7FED05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alloon Text"/>
    <w:basedOn w:val="1"/>
    <w:link w:val="11"/>
    <w:semiHidden/>
    <w:unhideWhenUsed/>
    <w:qFormat/>
    <w:uiPriority w:val="99"/>
    <w:rPr>
      <w:sz w:val="18"/>
      <w:szCs w:val="18"/>
    </w:rPr>
  </w:style>
  <w:style w:type="paragraph" w:styleId="4">
    <w:name w:val="footer"/>
    <w:basedOn w:val="1"/>
    <w:link w:val="13"/>
    <w:semiHidden/>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99"/>
    <w:pPr>
      <w:spacing w:before="100" w:beforeAutospacing="1" w:after="100" w:afterAutospacing="1" w:line="360" w:lineRule="auto"/>
      <w:ind w:right="450" w:rightChars="450" w:firstLine="420" w:firstLineChars="200"/>
    </w:pPr>
    <w:rPr>
      <w:rFonts w:ascii="Calibri" w:hAnsi="Calibri" w:cs="Calibri"/>
    </w:rPr>
  </w:style>
  <w:style w:type="character" w:customStyle="1" w:styleId="10">
    <w:name w:val="15"/>
    <w:basedOn w:val="8"/>
    <w:qFormat/>
    <w:uiPriority w:val="0"/>
    <w:rPr>
      <w:rFonts w:hint="default" w:ascii="Times New Roman" w:hAnsi="Times New Roman" w:eastAsia="黑体" w:cs="Times New Roman"/>
      <w:b/>
      <w:bCs/>
      <w:kern w:val="44"/>
      <w:sz w:val="30"/>
      <w:szCs w:val="30"/>
    </w:rPr>
  </w:style>
  <w:style w:type="character" w:customStyle="1" w:styleId="11">
    <w:name w:val="批注框文本 Char"/>
    <w:basedOn w:val="8"/>
    <w:link w:val="3"/>
    <w:semiHidden/>
    <w:qFormat/>
    <w:uiPriority w:val="99"/>
    <w:rPr>
      <w:rFonts w:ascii="Times New Roman" w:hAnsi="Times New Roman" w:eastAsia="宋体" w:cs="Times New Roman"/>
      <w:sz w:val="18"/>
      <w:szCs w:val="18"/>
    </w:rPr>
  </w:style>
  <w:style w:type="character" w:customStyle="1" w:styleId="12">
    <w:name w:val="页眉 Char"/>
    <w:basedOn w:val="8"/>
    <w:link w:val="5"/>
    <w:semiHidden/>
    <w:qFormat/>
    <w:uiPriority w:val="99"/>
    <w:rPr>
      <w:kern w:val="2"/>
      <w:sz w:val="18"/>
      <w:szCs w:val="18"/>
    </w:rPr>
  </w:style>
  <w:style w:type="character" w:customStyle="1" w:styleId="13">
    <w:name w:val="页脚 Char"/>
    <w:basedOn w:val="8"/>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21</Pages>
  <Words>8633</Words>
  <Characters>9571</Characters>
  <Lines>22</Lines>
  <Paragraphs>22</Paragraphs>
  <TotalTime>10</TotalTime>
  <ScaleCrop>false</ScaleCrop>
  <LinksUpToDate>false</LinksUpToDate>
  <CharactersWithSpaces>10424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2018-05-15T05:36:00Z</dcterms:created>
  <dc:creator>余其波</dc:creator>
  <cp:lastModifiedBy>042650</cp:lastModifiedBy>
  <dcterms:modified xsi:type="dcterms:W3CDTF">2023-05-22T23:57:10Z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5378912E760F450F84C13FA3581DADB5</vt:lpwstr>
  </property>
</Properties>
</file>