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eastAsia="宋体"/>
          <w:sz w:val="84"/>
          <w:lang w:eastAsia="zh-CN"/>
        </w:rPr>
      </w:pPr>
      <w:r>
        <w:rPr>
          <w:rFonts w:hint="eastAsia" w:eastAsia="宋体"/>
          <w:sz w:val="84"/>
          <w:lang w:eastAsia="zh-CN"/>
        </w:rPr>
        <w:drawing>
          <wp:inline distT="0" distB="0" distL="114300" distR="114300">
            <wp:extent cx="802640" cy="647065"/>
            <wp:effectExtent l="0" t="0" r="16510" b="635"/>
            <wp:docPr id="5" name="图片 6" descr="f3d5e7df6e3401de20abcaa91092f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f3d5e7df6e3401de20abcaa91092faa"/>
                    <pic:cNvPicPr>
                      <a:picLocks noChangeAspect="1"/>
                    </pic:cNvPicPr>
                  </pic:nvPicPr>
                  <pic:blipFill>
                    <a:blip r:embed="rId4"/>
                    <a:stretch>
                      <a:fillRect/>
                    </a:stretch>
                  </pic:blipFill>
                  <pic:spPr>
                    <a:xfrm>
                      <a:off x="0" y="0"/>
                      <a:ext cx="802640" cy="647065"/>
                    </a:xfrm>
                    <a:prstGeom prst="rect">
                      <a:avLst/>
                    </a:prstGeom>
                    <a:noFill/>
                    <a:ln>
                      <a:noFill/>
                    </a:ln>
                  </pic:spPr>
                </pic:pic>
              </a:graphicData>
            </a:graphic>
          </wp:inline>
        </w:drawing>
      </w:r>
    </w:p>
    <w:p>
      <w:pPr>
        <w:spacing w:line="700" w:lineRule="exact"/>
        <w:jc w:val="center"/>
        <w:rPr>
          <w:rFonts w:hint="eastAsia"/>
          <w:b/>
          <w:sz w:val="48"/>
        </w:rPr>
      </w:pPr>
      <w:r>
        <w:rPr>
          <w:rFonts w:hint="eastAsia"/>
          <w:b/>
          <w:sz w:val="48"/>
          <w:lang w:eastAsia="zh-CN"/>
        </w:rPr>
        <w:t>阳极氧化铝板</w:t>
      </w:r>
      <w:r>
        <w:rPr>
          <w:rFonts w:hint="eastAsia"/>
          <w:b/>
          <w:sz w:val="48"/>
        </w:rPr>
        <w:t>采购招标</w:t>
      </w:r>
    </w:p>
    <w:p>
      <w:pPr>
        <w:spacing w:line="700" w:lineRule="exact"/>
        <w:rPr>
          <w:rFonts w:hint="eastAsia"/>
          <w:b/>
          <w:sz w:val="36"/>
        </w:rPr>
      </w:pPr>
    </w:p>
    <w:p>
      <w:pPr>
        <w:spacing w:line="700" w:lineRule="exact"/>
        <w:jc w:val="center"/>
        <w:rPr>
          <w:rFonts w:hint="eastAsia"/>
          <w:b/>
          <w:sz w:val="48"/>
        </w:rPr>
      </w:pPr>
      <w:r>
        <w:rPr>
          <w:rFonts w:hint="eastAsia"/>
          <w:b/>
          <w:sz w:val="48"/>
        </w:rPr>
        <w:t>邀</w:t>
      </w:r>
    </w:p>
    <w:p>
      <w:pPr>
        <w:spacing w:line="700" w:lineRule="exact"/>
        <w:jc w:val="center"/>
        <w:rPr>
          <w:rFonts w:hint="eastAsia"/>
          <w:b/>
          <w:sz w:val="48"/>
        </w:rPr>
      </w:pPr>
    </w:p>
    <w:p>
      <w:pPr>
        <w:spacing w:line="700" w:lineRule="exact"/>
        <w:jc w:val="center"/>
        <w:rPr>
          <w:rFonts w:hint="eastAsia"/>
          <w:b/>
          <w:sz w:val="48"/>
        </w:rPr>
      </w:pPr>
      <w:r>
        <w:rPr>
          <w:rFonts w:hint="eastAsia"/>
          <w:b/>
          <w:sz w:val="48"/>
        </w:rPr>
        <w:t>请</w:t>
      </w:r>
    </w:p>
    <w:p>
      <w:pPr>
        <w:spacing w:line="700" w:lineRule="exact"/>
        <w:jc w:val="center"/>
        <w:rPr>
          <w:rFonts w:hint="eastAsia"/>
          <w:b/>
          <w:sz w:val="48"/>
        </w:rPr>
      </w:pPr>
    </w:p>
    <w:p>
      <w:pPr>
        <w:spacing w:line="700" w:lineRule="exact"/>
        <w:jc w:val="center"/>
        <w:rPr>
          <w:rFonts w:hint="eastAsia"/>
          <w:b/>
          <w:sz w:val="36"/>
        </w:rPr>
      </w:pPr>
      <w:r>
        <w:rPr>
          <w:rFonts w:hint="eastAsia"/>
          <w:b/>
          <w:sz w:val="48"/>
        </w:rPr>
        <w:t>函</w:t>
      </w:r>
    </w:p>
    <w:p>
      <w:pPr>
        <w:spacing w:line="700" w:lineRule="exact"/>
        <w:jc w:val="center"/>
        <w:rPr>
          <w:rFonts w:hint="eastAsia"/>
          <w:b/>
          <w:sz w:val="36"/>
        </w:rPr>
      </w:pPr>
    </w:p>
    <w:p>
      <w:pPr>
        <w:spacing w:line="700" w:lineRule="exact"/>
        <w:jc w:val="center"/>
        <w:rPr>
          <w:rFonts w:hint="eastAsia"/>
          <w:b/>
          <w:sz w:val="36"/>
        </w:rPr>
      </w:pPr>
    </w:p>
    <w:p>
      <w:pPr>
        <w:spacing w:line="600" w:lineRule="exact"/>
        <w:jc w:val="center"/>
        <w:rPr>
          <w:rFonts w:hint="eastAsia"/>
          <w:b/>
          <w:sz w:val="36"/>
        </w:rPr>
      </w:pPr>
    </w:p>
    <w:p>
      <w:pPr>
        <w:spacing w:line="600" w:lineRule="exact"/>
        <w:jc w:val="center"/>
        <w:rPr>
          <w:rFonts w:hint="eastAsia"/>
          <w:b/>
          <w:sz w:val="30"/>
        </w:rPr>
      </w:pPr>
    </w:p>
    <w:p>
      <w:pPr>
        <w:spacing w:line="600" w:lineRule="exact"/>
        <w:jc w:val="center"/>
        <w:rPr>
          <w:rFonts w:hint="eastAsia"/>
          <w:b/>
          <w:sz w:val="30"/>
        </w:rPr>
      </w:pPr>
    </w:p>
    <w:p>
      <w:pPr>
        <w:spacing w:line="600" w:lineRule="exact"/>
        <w:jc w:val="center"/>
        <w:rPr>
          <w:rFonts w:hint="eastAsia"/>
          <w:b/>
          <w:sz w:val="30"/>
        </w:rPr>
      </w:pPr>
    </w:p>
    <w:p>
      <w:pPr>
        <w:spacing w:line="360" w:lineRule="auto"/>
        <w:jc w:val="center"/>
        <w:rPr>
          <w:rFonts w:hint="eastAsia" w:ascii="宋体" w:hAnsi="宋体"/>
          <w:b/>
          <w:sz w:val="30"/>
        </w:rPr>
      </w:pPr>
      <w:r>
        <w:rPr>
          <w:rFonts w:hint="eastAsia" w:ascii="宋体" w:hAnsi="宋体"/>
          <w:b/>
          <w:sz w:val="30"/>
        </w:rPr>
        <w:t>方大新材料（江西）有限公司</w:t>
      </w:r>
    </w:p>
    <w:p>
      <w:pPr>
        <w:spacing w:line="600" w:lineRule="exact"/>
        <w:jc w:val="center"/>
        <w:rPr>
          <w:rFonts w:hint="eastAsia"/>
          <w:b/>
          <w:sz w:val="30"/>
        </w:rPr>
      </w:pPr>
      <w:r>
        <w:rPr>
          <w:rFonts w:hint="eastAsia"/>
          <w:b/>
          <w:sz w:val="30"/>
        </w:rPr>
        <w:t>20</w:t>
      </w:r>
      <w:r>
        <w:rPr>
          <w:rFonts w:hint="eastAsia"/>
          <w:b/>
          <w:sz w:val="30"/>
          <w:lang w:val="en-US" w:eastAsia="zh-CN"/>
        </w:rPr>
        <w:t>23</w:t>
      </w:r>
      <w:r>
        <w:rPr>
          <w:rFonts w:hint="eastAsia"/>
          <w:b/>
          <w:sz w:val="30"/>
        </w:rPr>
        <w:t>年</w:t>
      </w:r>
      <w:r>
        <w:rPr>
          <w:rFonts w:hint="eastAsia"/>
          <w:b/>
          <w:sz w:val="30"/>
          <w:lang w:val="en-US" w:eastAsia="zh-CN"/>
        </w:rPr>
        <w:t>3</w:t>
      </w:r>
      <w:r>
        <w:rPr>
          <w:rFonts w:hint="eastAsia"/>
          <w:b/>
          <w:sz w:val="30"/>
        </w:rPr>
        <w:t>月</w:t>
      </w:r>
      <w:r>
        <w:rPr>
          <w:rFonts w:hint="eastAsia"/>
          <w:b/>
          <w:sz w:val="30"/>
          <w:lang w:val="en-US" w:eastAsia="zh-CN"/>
        </w:rPr>
        <w:t>15</w:t>
      </w:r>
      <w:r>
        <w:rPr>
          <w:rFonts w:hint="eastAsia"/>
          <w:b/>
          <w:sz w:val="30"/>
        </w:rPr>
        <w:t>日</w:t>
      </w:r>
    </w:p>
    <w:p>
      <w:pPr>
        <w:pStyle w:val="2"/>
        <w:rPr>
          <w:rFonts w:hint="eastAsia"/>
        </w:rPr>
      </w:pPr>
    </w:p>
    <w:p/>
    <w:p>
      <w:pPr>
        <w:pStyle w:val="2"/>
      </w:pPr>
    </w:p>
    <w:p>
      <w:pPr>
        <w:pStyle w:val="2"/>
      </w:pPr>
    </w:p>
    <w:p>
      <w:pPr>
        <w:pStyle w:val="2"/>
      </w:pPr>
    </w:p>
    <w:p>
      <w:pPr>
        <w:pStyle w:val="2"/>
      </w:pPr>
    </w:p>
    <w:p>
      <w:pPr>
        <w:pStyle w:val="2"/>
      </w:pPr>
    </w:p>
    <w:p>
      <w:pPr>
        <w:pStyle w:val="2"/>
      </w:pPr>
    </w:p>
    <w:p>
      <w:pPr>
        <w:pStyle w:val="2"/>
      </w:pPr>
    </w:p>
    <w:p>
      <w:pPr>
        <w:pStyle w:val="2"/>
        <w:jc w:val="center"/>
        <w:rPr>
          <w:rFonts w:hint="eastAsia"/>
          <w:b/>
          <w:bCs/>
          <w:sz w:val="32"/>
          <w:szCs w:val="32"/>
        </w:rPr>
      </w:pPr>
      <w:r>
        <w:rPr>
          <w:rFonts w:hint="eastAsia"/>
          <w:b/>
          <w:bCs/>
          <w:sz w:val="32"/>
          <w:szCs w:val="32"/>
        </w:rPr>
        <w:t>招标单位简介</w:t>
      </w:r>
    </w:p>
    <w:p>
      <w:pPr>
        <w:pStyle w:val="2"/>
        <w:spacing w:line="480" w:lineRule="auto"/>
        <w:ind w:firstLine="480"/>
        <w:jc w:val="left"/>
        <w:rPr>
          <w:rFonts w:ascii="宋体" w:hAnsi="宋体" w:eastAsia="宋体" w:cs="宋体"/>
          <w:i w:val="0"/>
          <w:caps w:val="0"/>
          <w:color w:val="000000"/>
          <w:spacing w:val="0"/>
          <w:sz w:val="24"/>
          <w:szCs w:val="24"/>
          <w:shd w:val="clear" w:fill="FFFFFF"/>
        </w:rPr>
      </w:pPr>
      <w:r>
        <w:rPr>
          <w:rFonts w:ascii="宋体" w:hAnsi="宋体" w:eastAsia="宋体" w:cs="宋体"/>
          <w:i w:val="0"/>
          <w:caps w:val="0"/>
          <w:color w:val="000000"/>
          <w:spacing w:val="0"/>
          <w:sz w:val="24"/>
          <w:szCs w:val="24"/>
          <w:shd w:val="clear" w:fill="FFFFFF"/>
        </w:rPr>
        <w:t>方大新材料（江西）有限公司是由方大集团股份有限公司</w:t>
      </w:r>
      <w:r>
        <w:rPr>
          <w:rFonts w:hint="eastAsia" w:ascii="宋体" w:hAnsi="宋体" w:eastAsia="宋体" w:cs="宋体"/>
          <w:i w:val="0"/>
          <w:caps w:val="0"/>
          <w:color w:val="000000"/>
          <w:spacing w:val="0"/>
          <w:sz w:val="24"/>
          <w:szCs w:val="24"/>
          <w:shd w:val="clear" w:fill="FFFFFF"/>
        </w:rPr>
        <w:t>(a.b股上市公司000055)</w:t>
      </w:r>
      <w:r>
        <w:rPr>
          <w:rFonts w:ascii="宋体" w:hAnsi="宋体" w:eastAsia="宋体" w:cs="宋体"/>
          <w:i w:val="0"/>
          <w:caps w:val="0"/>
          <w:color w:val="000000"/>
          <w:spacing w:val="0"/>
          <w:sz w:val="24"/>
          <w:szCs w:val="24"/>
          <w:shd w:val="clear" w:fill="FFFFFF"/>
        </w:rPr>
        <w:t>与香港俊佳集团有限公司共同投资兴建的中外合资企业，注册资金</w:t>
      </w:r>
      <w:r>
        <w:rPr>
          <w:rFonts w:ascii="Arial" w:hAnsi="Arial" w:eastAsia="宋体" w:cs="Arial"/>
          <w:i w:val="0"/>
          <w:caps w:val="0"/>
          <w:color w:val="000000"/>
          <w:spacing w:val="0"/>
          <w:sz w:val="24"/>
          <w:szCs w:val="24"/>
          <w:shd w:val="clear" w:fill="FFFFFF"/>
        </w:rPr>
        <w:t>1200</w:t>
      </w:r>
      <w:r>
        <w:rPr>
          <w:rFonts w:ascii="宋体" w:hAnsi="宋体" w:eastAsia="宋体" w:cs="宋体"/>
          <w:i w:val="0"/>
          <w:caps w:val="0"/>
          <w:color w:val="000000"/>
          <w:spacing w:val="0"/>
          <w:sz w:val="24"/>
          <w:szCs w:val="24"/>
          <w:shd w:val="clear" w:fill="FFFFFF"/>
        </w:rPr>
        <w:t>万美元，</w:t>
      </w:r>
      <w:r>
        <w:rPr>
          <w:rFonts w:hint="eastAsia" w:ascii="宋体" w:hAnsi="宋体" w:eastAsia="宋体" w:cs="宋体"/>
          <w:i w:val="0"/>
          <w:caps w:val="0"/>
          <w:color w:val="000000"/>
          <w:spacing w:val="0"/>
          <w:sz w:val="24"/>
          <w:szCs w:val="24"/>
          <w:shd w:val="clear" w:fill="FFFFFF"/>
          <w:lang w:eastAsia="zh-CN"/>
        </w:rPr>
        <w:t>占地面积</w:t>
      </w:r>
      <w:r>
        <w:rPr>
          <w:rFonts w:hint="eastAsia" w:ascii="宋体" w:hAnsi="宋体" w:eastAsia="宋体" w:cs="宋体"/>
          <w:i w:val="0"/>
          <w:caps w:val="0"/>
          <w:color w:val="000000"/>
          <w:spacing w:val="0"/>
          <w:sz w:val="24"/>
          <w:szCs w:val="24"/>
          <w:shd w:val="clear" w:fill="FFFFFF"/>
          <w:lang w:val="en-US" w:eastAsia="zh-CN"/>
        </w:rPr>
        <w:t>20</w:t>
      </w:r>
      <w:r>
        <w:rPr>
          <w:rFonts w:ascii="宋体" w:hAnsi="宋体" w:eastAsia="宋体" w:cs="宋体"/>
          <w:i w:val="0"/>
          <w:caps w:val="0"/>
          <w:color w:val="000000"/>
          <w:spacing w:val="0"/>
          <w:sz w:val="24"/>
          <w:szCs w:val="24"/>
          <w:shd w:val="clear" w:fill="FFFFFF"/>
        </w:rPr>
        <w:t>万平米，</w:t>
      </w:r>
      <w:r>
        <w:rPr>
          <w:rFonts w:hint="default" w:ascii="Arial" w:hAnsi="Arial" w:eastAsia="宋体" w:cs="Arial"/>
          <w:i w:val="0"/>
          <w:caps w:val="0"/>
          <w:color w:val="000000"/>
          <w:spacing w:val="4"/>
          <w:sz w:val="24"/>
          <w:szCs w:val="24"/>
          <w:shd w:val="clear" w:fill="FFFFFF"/>
        </w:rPr>
        <w:t xml:space="preserve"> </w:t>
      </w:r>
      <w:r>
        <w:rPr>
          <w:rFonts w:ascii="宋体" w:hAnsi="宋体" w:eastAsia="宋体" w:cs="宋体"/>
          <w:i w:val="0"/>
          <w:caps w:val="0"/>
          <w:color w:val="000000"/>
          <w:spacing w:val="0"/>
          <w:sz w:val="24"/>
          <w:szCs w:val="24"/>
          <w:shd w:val="clear" w:fill="FFFFFF"/>
        </w:rPr>
        <w:t>是我国目前规模最大的的新型建材生产企业之一，属于江西省重点企业和国家高新技术企业。</w:t>
      </w:r>
    </w:p>
    <w:p>
      <w:pPr>
        <w:pStyle w:val="2"/>
        <w:spacing w:line="480" w:lineRule="auto"/>
        <w:ind w:firstLine="480"/>
        <w:jc w:val="left"/>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lang w:eastAsia="zh-CN"/>
        </w:rPr>
        <w:t>江西方大</w:t>
      </w:r>
      <w:r>
        <w:rPr>
          <w:rFonts w:hint="eastAsia" w:ascii="宋体" w:hAnsi="宋体" w:eastAsia="宋体" w:cs="宋体"/>
          <w:i w:val="0"/>
          <w:caps w:val="0"/>
          <w:color w:val="000000"/>
          <w:spacing w:val="0"/>
          <w:sz w:val="24"/>
          <w:szCs w:val="24"/>
          <w:shd w:val="clear" w:fill="FFFFFF"/>
        </w:rPr>
        <w:t>精准定位于高端市场，以智能、低碳、环保、可持续为发展方向，推动我国幕墙</w:t>
      </w:r>
      <w:r>
        <w:rPr>
          <w:rFonts w:hint="eastAsia" w:ascii="宋体" w:hAnsi="宋体" w:eastAsia="宋体" w:cs="宋体"/>
          <w:i w:val="0"/>
          <w:caps w:val="0"/>
          <w:color w:val="000000"/>
          <w:spacing w:val="0"/>
          <w:sz w:val="24"/>
          <w:szCs w:val="24"/>
          <w:shd w:val="clear" w:fill="FFFFFF"/>
          <w:lang w:eastAsia="zh-CN"/>
        </w:rPr>
        <w:t>铝板</w:t>
      </w:r>
      <w:r>
        <w:rPr>
          <w:rFonts w:hint="eastAsia" w:ascii="宋体" w:hAnsi="宋体" w:eastAsia="宋体" w:cs="宋体"/>
          <w:i w:val="0"/>
          <w:caps w:val="0"/>
          <w:color w:val="000000"/>
          <w:spacing w:val="0"/>
          <w:sz w:val="24"/>
          <w:szCs w:val="24"/>
          <w:shd w:val="clear" w:fill="FFFFFF"/>
        </w:rPr>
        <w:t>行业科技创新发展。方大品牌被评为“中国改革开放20年影响力品牌”；被有关部门授予“中国工业行业状元”、“中国发展潜力上市公司50强”、“2006年度技术企业”等称号，方大荣获国际质量高奖——“白金奖”。</w:t>
      </w:r>
    </w:p>
    <w:p>
      <w:pPr>
        <w:widowControl/>
        <w:shd w:val="clear" w:color="auto" w:fill="FFFFFF"/>
        <w:spacing w:line="480" w:lineRule="auto"/>
        <w:ind w:firstLine="600" w:firstLineChars="250"/>
        <w:jc w:val="left"/>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方大新材料（江西）有限公司依托方大集团的技术、品牌优势和江西省南昌市的环境政策，不断研发和生产市场适销的新材料产品，满足工程项目的需求，销售网络遍及国内各省市区，远销欧美及东南亚，赢得国内外用户的普遍赞誉。主要产品均通过国家ISO90001认证，并获得国际质量CE认证，产品CTC认证，是我国目前规模最大的新型建材生产企业。目前公司形成珠三角、长三角、环渤海、华中、西南及西北以及国外为主的6大市场区域。在中高端工程项目市场我司产品市场占有率已达30%以上，在北京奥运会、上海世博会、深圳大运会、南昌城运会等场馆建设均大量使用了我司产品；产品也同时销往中东、欧美等海外市场，目前伦敦奥运会最高标志建筑CASTLE HOUSE大厦外墙主体采购就是选用我司产品。方大幕墙</w:t>
      </w:r>
      <w:r>
        <w:rPr>
          <w:rFonts w:hint="eastAsia" w:ascii="宋体" w:hAnsi="宋体" w:eastAsia="宋体" w:cs="宋体"/>
          <w:i w:val="0"/>
          <w:caps w:val="0"/>
          <w:color w:val="000000"/>
          <w:spacing w:val="0"/>
          <w:sz w:val="24"/>
          <w:szCs w:val="24"/>
          <w:shd w:val="clear" w:fill="FFFFFF"/>
          <w:lang w:eastAsia="zh-CN"/>
        </w:rPr>
        <w:t>铝板</w:t>
      </w:r>
      <w:r>
        <w:rPr>
          <w:rFonts w:hint="eastAsia" w:ascii="宋体" w:hAnsi="宋体" w:eastAsia="宋体" w:cs="宋体"/>
          <w:i w:val="0"/>
          <w:caps w:val="0"/>
          <w:color w:val="000000"/>
          <w:spacing w:val="0"/>
          <w:sz w:val="24"/>
          <w:szCs w:val="24"/>
          <w:shd w:val="clear" w:fill="FFFFFF"/>
        </w:rPr>
        <w:t>在产品质量、技术实力、专业服务、绿色节能、品牌影响力等诸多方面位居同行业前列，是我国具有竞争力的幕墙</w:t>
      </w:r>
      <w:r>
        <w:rPr>
          <w:rFonts w:hint="eastAsia" w:ascii="宋体" w:hAnsi="宋体" w:eastAsia="宋体" w:cs="宋体"/>
          <w:i w:val="0"/>
          <w:caps w:val="0"/>
          <w:color w:val="000000"/>
          <w:spacing w:val="0"/>
          <w:sz w:val="24"/>
          <w:szCs w:val="24"/>
          <w:shd w:val="clear" w:fill="FFFFFF"/>
          <w:lang w:eastAsia="zh-CN"/>
        </w:rPr>
        <w:t>铝单板</w:t>
      </w:r>
      <w:r>
        <w:rPr>
          <w:rFonts w:hint="eastAsia" w:ascii="宋体" w:hAnsi="宋体" w:eastAsia="宋体" w:cs="宋体"/>
          <w:i w:val="0"/>
          <w:caps w:val="0"/>
          <w:color w:val="000000"/>
          <w:spacing w:val="0"/>
          <w:sz w:val="24"/>
          <w:szCs w:val="24"/>
          <w:shd w:val="clear" w:fill="FFFFFF"/>
        </w:rPr>
        <w:t>品牌。</w:t>
      </w:r>
    </w:p>
    <w:p>
      <w:pPr>
        <w:pStyle w:val="2"/>
        <w:spacing w:line="360" w:lineRule="auto"/>
        <w:ind w:firstLine="480"/>
        <w:jc w:val="left"/>
        <w:rPr>
          <w:rFonts w:hint="eastAsia" w:ascii="宋体" w:hAnsi="宋体" w:eastAsia="宋体" w:cs="宋体"/>
          <w:i w:val="0"/>
          <w:caps w:val="0"/>
          <w:color w:val="000000"/>
          <w:spacing w:val="0"/>
          <w:sz w:val="24"/>
          <w:szCs w:val="24"/>
          <w:shd w:val="clear" w:fill="FFFFFF"/>
        </w:rPr>
      </w:pPr>
    </w:p>
    <w:p>
      <w:pPr>
        <w:pStyle w:val="2"/>
        <w:spacing w:line="360" w:lineRule="auto"/>
        <w:ind w:firstLine="480"/>
        <w:jc w:val="left"/>
        <w:rPr>
          <w:rFonts w:hint="eastAsia" w:ascii="宋体" w:hAnsi="宋体" w:eastAsia="宋体" w:cs="宋体"/>
          <w:i w:val="0"/>
          <w:caps w:val="0"/>
          <w:color w:val="000000"/>
          <w:spacing w:val="0"/>
          <w:sz w:val="24"/>
          <w:szCs w:val="24"/>
          <w:shd w:val="clear" w:fill="FFFFFF"/>
        </w:rPr>
      </w:pPr>
    </w:p>
    <w:p>
      <w:pPr>
        <w:pStyle w:val="2"/>
        <w:spacing w:line="360" w:lineRule="auto"/>
        <w:ind w:firstLine="480"/>
        <w:jc w:val="left"/>
        <w:rPr>
          <w:rFonts w:hint="eastAsia" w:ascii="宋体" w:hAnsi="宋体" w:eastAsia="宋体" w:cs="宋体"/>
          <w:i w:val="0"/>
          <w:caps w:val="0"/>
          <w:color w:val="000000"/>
          <w:spacing w:val="0"/>
          <w:sz w:val="24"/>
          <w:szCs w:val="24"/>
          <w:shd w:val="clear" w:fill="FFFFFF"/>
        </w:rPr>
      </w:pPr>
    </w:p>
    <w:p>
      <w:pPr>
        <w:pStyle w:val="2"/>
        <w:spacing w:line="360" w:lineRule="auto"/>
        <w:ind w:firstLine="480"/>
        <w:jc w:val="left"/>
        <w:rPr>
          <w:rFonts w:hint="eastAsia" w:ascii="宋体" w:hAnsi="宋体" w:eastAsia="宋体" w:cs="宋体"/>
          <w:i w:val="0"/>
          <w:caps w:val="0"/>
          <w:color w:val="000000"/>
          <w:spacing w:val="0"/>
          <w:sz w:val="24"/>
          <w:szCs w:val="24"/>
          <w:shd w:val="clear" w:fill="FFFFFF"/>
        </w:rPr>
      </w:pPr>
    </w:p>
    <w:p>
      <w:pPr>
        <w:pStyle w:val="2"/>
        <w:spacing w:line="360" w:lineRule="auto"/>
        <w:ind w:firstLine="480"/>
        <w:jc w:val="left"/>
        <w:rPr>
          <w:rFonts w:hint="eastAsia" w:ascii="宋体" w:hAnsi="宋体" w:eastAsia="宋体" w:cs="宋体"/>
          <w:i w:val="0"/>
          <w:caps w:val="0"/>
          <w:color w:val="000000"/>
          <w:spacing w:val="0"/>
          <w:sz w:val="24"/>
          <w:szCs w:val="24"/>
          <w:shd w:val="clear" w:fill="FFFFFF"/>
        </w:rPr>
      </w:pPr>
    </w:p>
    <w:p>
      <w:pPr>
        <w:pStyle w:val="2"/>
        <w:spacing w:line="360" w:lineRule="auto"/>
        <w:ind w:firstLine="480"/>
        <w:jc w:val="left"/>
        <w:rPr>
          <w:rFonts w:hint="eastAsia" w:ascii="宋体" w:hAnsi="宋体" w:eastAsia="宋体" w:cs="宋体"/>
          <w:i w:val="0"/>
          <w:caps w:val="0"/>
          <w:color w:val="000000"/>
          <w:spacing w:val="0"/>
          <w:sz w:val="24"/>
          <w:szCs w:val="24"/>
          <w:shd w:val="clear" w:fill="FFFFFF"/>
        </w:rPr>
      </w:pPr>
    </w:p>
    <w:p>
      <w:pPr>
        <w:pStyle w:val="2"/>
        <w:spacing w:line="360" w:lineRule="auto"/>
        <w:ind w:firstLine="2187" w:firstLineChars="726"/>
        <w:jc w:val="both"/>
        <w:rPr>
          <w:rFonts w:hint="eastAsia"/>
          <w:b/>
          <w:sz w:val="32"/>
        </w:rPr>
      </w:pPr>
      <w:r>
        <w:rPr>
          <w:rFonts w:hint="eastAsia"/>
          <w:b/>
          <w:sz w:val="30"/>
          <w:lang w:val="en-US" w:eastAsia="zh-CN"/>
        </w:rPr>
        <w:t>沙特1F项目</w:t>
      </w:r>
      <w:r>
        <w:rPr>
          <w:rFonts w:hint="eastAsia"/>
          <w:b/>
          <w:sz w:val="30"/>
          <w:u w:val="single"/>
          <w:lang w:eastAsia="zh-CN"/>
        </w:rPr>
        <w:t>阳极氧化</w:t>
      </w:r>
      <w:r>
        <w:rPr>
          <w:rFonts w:hint="eastAsia"/>
          <w:b/>
          <w:sz w:val="30"/>
          <w:u w:val="single"/>
        </w:rPr>
        <w:t>铝</w:t>
      </w:r>
      <w:r>
        <w:rPr>
          <w:rFonts w:hint="eastAsia"/>
          <w:b/>
          <w:sz w:val="30"/>
          <w:u w:val="single"/>
          <w:lang w:eastAsia="zh-CN"/>
        </w:rPr>
        <w:t>单</w:t>
      </w:r>
      <w:r>
        <w:rPr>
          <w:rFonts w:hint="eastAsia"/>
          <w:b/>
          <w:sz w:val="30"/>
          <w:u w:val="single"/>
        </w:rPr>
        <w:t>板</w:t>
      </w:r>
      <w:r>
        <w:rPr>
          <w:rFonts w:hint="eastAsia"/>
          <w:b/>
          <w:sz w:val="32"/>
        </w:rPr>
        <w:t>采购招标书</w:t>
      </w:r>
    </w:p>
    <w:p>
      <w:pPr>
        <w:pStyle w:val="2"/>
        <w:numPr>
          <w:ilvl w:val="0"/>
          <w:numId w:val="1"/>
        </w:numPr>
        <w:spacing w:line="360" w:lineRule="auto"/>
        <w:ind w:left="0" w:leftChars="0" w:firstLine="0" w:firstLineChars="0"/>
        <w:jc w:val="both"/>
        <w:rPr>
          <w:rFonts w:hint="eastAsia"/>
          <w:b/>
          <w:sz w:val="32"/>
          <w:lang w:eastAsia="zh-CN"/>
        </w:rPr>
      </w:pPr>
      <w:r>
        <w:rPr>
          <w:rFonts w:hint="eastAsia"/>
          <w:b/>
          <w:sz w:val="32"/>
          <w:lang w:eastAsia="zh-CN"/>
        </w:rPr>
        <w:t>工程概况：</w:t>
      </w:r>
    </w:p>
    <w:p>
      <w:pPr>
        <w:spacing w:line="360" w:lineRule="auto"/>
        <w:ind w:firstLine="480" w:firstLineChars="200"/>
        <w:rPr>
          <w:rFonts w:hint="eastAsia"/>
          <w:sz w:val="24"/>
        </w:rPr>
      </w:pPr>
      <w:r>
        <w:rPr>
          <w:rFonts w:hint="eastAsia"/>
          <w:sz w:val="24"/>
        </w:rPr>
        <w:t>本次招标采购的阳极氧化铝板为</w:t>
      </w:r>
      <w:r>
        <w:rPr>
          <w:rFonts w:hint="eastAsia"/>
          <w:bCs/>
          <w:sz w:val="24"/>
        </w:rPr>
        <w:t>招标人承接的</w:t>
      </w:r>
      <w:r>
        <w:rPr>
          <w:rFonts w:hint="eastAsia"/>
          <w:bCs/>
          <w:sz w:val="24"/>
          <w:u w:val="single"/>
          <w:lang w:eastAsia="zh-CN"/>
        </w:rPr>
        <w:t>沙特</w:t>
      </w:r>
      <w:r>
        <w:rPr>
          <w:rFonts w:hint="eastAsia"/>
          <w:bCs/>
          <w:sz w:val="24"/>
          <w:u w:val="single"/>
          <w:lang w:val="en-US" w:eastAsia="zh-CN"/>
        </w:rPr>
        <w:t>1F项目</w:t>
      </w:r>
      <w:r>
        <w:rPr>
          <w:rFonts w:hint="eastAsia"/>
          <w:sz w:val="24"/>
        </w:rPr>
        <w:t>工程使用，本次招标确定供货单位后将根据工程进度和订购计划分批供货。</w:t>
      </w:r>
    </w:p>
    <w:p>
      <w:pPr>
        <w:pStyle w:val="2"/>
        <w:numPr>
          <w:ilvl w:val="0"/>
          <w:numId w:val="1"/>
        </w:numPr>
        <w:spacing w:line="360" w:lineRule="auto"/>
        <w:ind w:left="0" w:leftChars="0" w:firstLine="0" w:firstLineChars="0"/>
        <w:jc w:val="both"/>
        <w:rPr>
          <w:rFonts w:hint="eastAsia"/>
          <w:b/>
          <w:sz w:val="32"/>
          <w:lang w:eastAsia="zh-CN"/>
        </w:rPr>
      </w:pPr>
      <w:r>
        <w:rPr>
          <w:rFonts w:hint="eastAsia"/>
          <w:b/>
          <w:sz w:val="32"/>
          <w:lang w:eastAsia="zh-CN"/>
        </w:rPr>
        <w:t>招标内容：</w:t>
      </w:r>
    </w:p>
    <w:p>
      <w:pPr>
        <w:spacing w:line="360" w:lineRule="auto"/>
        <w:ind w:firstLine="480" w:firstLineChars="200"/>
        <w:rPr>
          <w:sz w:val="24"/>
        </w:rPr>
      </w:pPr>
      <w:r>
        <w:rPr>
          <w:rFonts w:hint="eastAsia"/>
          <w:sz w:val="24"/>
        </w:rPr>
        <w:t>1、投标人需填写《阳极氧化铝</w:t>
      </w:r>
      <w:r>
        <w:rPr>
          <w:rFonts w:hint="eastAsia"/>
          <w:sz w:val="24"/>
          <w:lang w:eastAsia="zh-CN"/>
        </w:rPr>
        <w:t>单</w:t>
      </w:r>
      <w:r>
        <w:rPr>
          <w:rFonts w:hint="eastAsia"/>
          <w:sz w:val="24"/>
        </w:rPr>
        <w:t>板供应综合表》，其价格应包括材料费、加工费、</w:t>
      </w:r>
      <w:r>
        <w:rPr>
          <w:rFonts w:hint="eastAsia"/>
          <w:sz w:val="24"/>
          <w:lang w:eastAsia="zh-CN"/>
        </w:rPr>
        <w:t>包装费、</w:t>
      </w:r>
      <w:r>
        <w:rPr>
          <w:rFonts w:hint="eastAsia"/>
          <w:sz w:val="24"/>
        </w:rPr>
        <w:t>运输费、利润、税金及投标人认为其它应发生的费用，对其他的优惠条件及服务承诺可以另书面说明。</w:t>
      </w:r>
    </w:p>
    <w:p>
      <w:pPr>
        <w:pStyle w:val="2"/>
        <w:numPr>
          <w:ilvl w:val="0"/>
          <w:numId w:val="0"/>
        </w:numPr>
        <w:spacing w:line="360" w:lineRule="auto"/>
        <w:ind w:leftChars="0" w:firstLine="480" w:firstLineChars="200"/>
        <w:rPr>
          <w:rFonts w:hint="eastAsia"/>
          <w:sz w:val="24"/>
        </w:rPr>
      </w:pPr>
      <w:r>
        <w:rPr>
          <w:rFonts w:hint="eastAsia"/>
          <w:sz w:val="24"/>
        </w:rPr>
        <w:t>2、招标产品名称、规格、数量、明细见附表《阳极氧化铝</w:t>
      </w:r>
      <w:r>
        <w:rPr>
          <w:rFonts w:hint="eastAsia"/>
          <w:sz w:val="24"/>
          <w:lang w:eastAsia="zh-CN"/>
        </w:rPr>
        <w:t>单</w:t>
      </w:r>
      <w:r>
        <w:rPr>
          <w:rFonts w:hint="eastAsia"/>
          <w:sz w:val="24"/>
        </w:rPr>
        <w:t>板报价明细表》此表投标人需填写。</w:t>
      </w:r>
    </w:p>
    <w:p>
      <w:pPr>
        <w:pStyle w:val="2"/>
        <w:numPr>
          <w:ilvl w:val="0"/>
          <w:numId w:val="1"/>
        </w:numPr>
        <w:spacing w:line="360" w:lineRule="auto"/>
        <w:ind w:left="0" w:leftChars="0" w:firstLine="0" w:firstLineChars="0"/>
        <w:jc w:val="both"/>
        <w:rPr>
          <w:rFonts w:hint="eastAsia"/>
          <w:b/>
          <w:sz w:val="32"/>
          <w:lang w:eastAsia="zh-CN"/>
        </w:rPr>
      </w:pPr>
      <w:r>
        <w:rPr>
          <w:rFonts w:hint="eastAsia"/>
          <w:b/>
          <w:sz w:val="32"/>
          <w:lang w:eastAsia="zh-CN"/>
        </w:rPr>
        <w:t>招标周期及评标方式：</w:t>
      </w:r>
    </w:p>
    <w:p>
      <w:pPr>
        <w:spacing w:line="360" w:lineRule="auto"/>
        <w:ind w:firstLine="480" w:firstLineChars="200"/>
        <w:rPr>
          <w:rFonts w:hint="eastAsia"/>
          <w:sz w:val="24"/>
        </w:rPr>
      </w:pPr>
      <w:r>
        <w:rPr>
          <w:rFonts w:hint="eastAsia"/>
          <w:sz w:val="24"/>
        </w:rPr>
        <w:t>招标周期为</w:t>
      </w:r>
      <w:r>
        <w:rPr>
          <w:rFonts w:hint="eastAsia"/>
          <w:sz w:val="24"/>
          <w:lang w:val="en-US" w:eastAsia="zh-CN"/>
        </w:rPr>
        <w:t>5</w:t>
      </w:r>
      <w:r>
        <w:rPr>
          <w:rFonts w:hint="eastAsia"/>
          <w:sz w:val="24"/>
        </w:rPr>
        <w:t>天，招标方式为邀请招标的形式，标书要求为</w:t>
      </w:r>
      <w:r>
        <w:rPr>
          <w:rFonts w:hint="eastAsia"/>
          <w:b/>
          <w:sz w:val="24"/>
        </w:rPr>
        <w:t>密封并加盖印章</w:t>
      </w:r>
      <w:r>
        <w:rPr>
          <w:rFonts w:hint="eastAsia"/>
          <w:sz w:val="24"/>
        </w:rPr>
        <w:t>。在满足招标书所有招标要求的前提下，采用最低价中标方式。</w:t>
      </w:r>
    </w:p>
    <w:p>
      <w:pPr>
        <w:pStyle w:val="2"/>
        <w:numPr>
          <w:ilvl w:val="0"/>
          <w:numId w:val="1"/>
        </w:numPr>
        <w:spacing w:line="360" w:lineRule="auto"/>
        <w:ind w:left="0" w:leftChars="0" w:firstLine="0" w:firstLineChars="0"/>
        <w:jc w:val="both"/>
        <w:rPr>
          <w:rFonts w:hint="eastAsia"/>
          <w:b/>
          <w:sz w:val="32"/>
          <w:lang w:eastAsia="zh-CN"/>
        </w:rPr>
      </w:pPr>
      <w:r>
        <w:rPr>
          <w:rFonts w:hint="eastAsia"/>
          <w:b/>
          <w:sz w:val="32"/>
          <w:lang w:eastAsia="zh-CN"/>
        </w:rPr>
        <w:t>质量要求：</w:t>
      </w:r>
    </w:p>
    <w:p>
      <w:pPr>
        <w:spacing w:line="360" w:lineRule="auto"/>
        <w:ind w:firstLine="360" w:firstLineChars="150"/>
        <w:rPr>
          <w:rFonts w:ascii="宋体" w:hAnsi="宋体"/>
          <w:sz w:val="24"/>
        </w:rPr>
      </w:pPr>
      <w:r>
        <w:rPr>
          <w:rFonts w:hint="eastAsia" w:ascii="宋体" w:hAnsi="宋体"/>
          <w:sz w:val="24"/>
        </w:rPr>
        <w:t>1、</w:t>
      </w:r>
      <w:r>
        <w:rPr>
          <w:rFonts w:hint="eastAsia"/>
          <w:sz w:val="24"/>
        </w:rPr>
        <w:t>投标人</w:t>
      </w:r>
      <w:r>
        <w:rPr>
          <w:rFonts w:hint="eastAsia" w:ascii="宋体" w:hAnsi="宋体"/>
          <w:sz w:val="24"/>
        </w:rPr>
        <w:t>提供的</w:t>
      </w:r>
      <w:r>
        <w:rPr>
          <w:rFonts w:hint="eastAsia"/>
          <w:sz w:val="24"/>
        </w:rPr>
        <w:t>阳极氧化铝板</w:t>
      </w:r>
      <w:r>
        <w:rPr>
          <w:rFonts w:hint="eastAsia" w:ascii="宋体" w:hAnsi="宋体"/>
          <w:sz w:val="24"/>
        </w:rPr>
        <w:t>必须</w:t>
      </w:r>
      <w:r>
        <w:rPr>
          <w:rFonts w:hint="eastAsia"/>
          <w:sz w:val="24"/>
        </w:rPr>
        <w:t>符合国</w:t>
      </w:r>
      <w:r>
        <w:rPr>
          <w:rFonts w:hint="eastAsia"/>
          <w:sz w:val="24"/>
          <w:highlight w:val="green"/>
        </w:rPr>
        <w:t>家有关规范标准</w:t>
      </w:r>
      <w:r>
        <w:rPr>
          <w:rFonts w:hint="eastAsia"/>
          <w:sz w:val="24"/>
        </w:rPr>
        <w:t>并要求采用</w:t>
      </w:r>
      <w:r>
        <w:rPr>
          <w:rFonts w:hint="eastAsia"/>
          <w:sz w:val="24"/>
          <w:highlight w:val="yellow"/>
        </w:rPr>
        <w:t>5005</w:t>
      </w:r>
      <w:r>
        <w:rPr>
          <w:rFonts w:hint="eastAsia"/>
          <w:sz w:val="24"/>
          <w:highlight w:val="yellow"/>
          <w:lang w:eastAsia="zh-CN"/>
        </w:rPr>
        <w:t>材质</w:t>
      </w:r>
      <w:r>
        <w:rPr>
          <w:rFonts w:hint="eastAsia" w:ascii="宋体" w:hAnsi="宋体"/>
          <w:sz w:val="24"/>
        </w:rPr>
        <w:t>，</w:t>
      </w:r>
      <w:r>
        <w:rPr>
          <w:rFonts w:hint="eastAsia"/>
          <w:sz w:val="24"/>
        </w:rPr>
        <w:t>阳极氧化铝板</w:t>
      </w:r>
      <w:r>
        <w:rPr>
          <w:rFonts w:hint="eastAsia" w:ascii="宋体" w:hAnsi="宋体"/>
          <w:sz w:val="24"/>
        </w:rPr>
        <w:t>加工必须符合</w:t>
      </w:r>
      <w:r>
        <w:rPr>
          <w:rFonts w:hint="eastAsia"/>
          <w:bCs/>
          <w:sz w:val="24"/>
        </w:rPr>
        <w:t>招标人</w:t>
      </w:r>
      <w:r>
        <w:rPr>
          <w:rFonts w:hint="eastAsia" w:ascii="宋体" w:hAnsi="宋体"/>
          <w:sz w:val="24"/>
        </w:rPr>
        <w:t>工艺图要求，在质量保证期内保持良好性能。</w:t>
      </w:r>
    </w:p>
    <w:p>
      <w:pPr>
        <w:spacing w:line="360" w:lineRule="auto"/>
        <w:ind w:firstLine="360" w:firstLineChars="150"/>
        <w:rPr>
          <w:rFonts w:ascii="宋体" w:hAnsi="宋体"/>
          <w:sz w:val="24"/>
          <w:highlight w:val="yellow"/>
        </w:rPr>
      </w:pPr>
      <w:r>
        <w:rPr>
          <w:rFonts w:hint="eastAsia" w:ascii="宋体" w:hAnsi="宋体"/>
          <w:sz w:val="24"/>
          <w:highlight w:val="yellow"/>
        </w:rPr>
        <w:t>2、阳极氧化铝板应符</w:t>
      </w:r>
      <w:r>
        <w:rPr>
          <w:rFonts w:hint="eastAsia" w:ascii="宋体" w:hAnsi="宋体"/>
          <w:sz w:val="24"/>
          <w:highlight w:val="green"/>
        </w:rPr>
        <w:t xml:space="preserve">合GB/T </w:t>
      </w:r>
      <w:r>
        <w:rPr>
          <w:rFonts w:hint="eastAsia" w:ascii="宋体" w:hAnsi="宋体"/>
          <w:sz w:val="24"/>
          <w:highlight w:val="green"/>
          <w:lang w:val="en-US" w:eastAsia="zh-CN"/>
        </w:rPr>
        <w:t>23443</w:t>
      </w:r>
      <w:r>
        <w:rPr>
          <w:rFonts w:hint="eastAsia" w:ascii="宋体" w:hAnsi="宋体"/>
          <w:sz w:val="24"/>
          <w:highlight w:val="yellow"/>
        </w:rPr>
        <w:t>国家标准，表面颜色均匀，无色差，光泽度一致，厚度均匀，</w:t>
      </w:r>
      <w:r>
        <w:rPr>
          <w:rFonts w:hint="eastAsia" w:ascii="宋体" w:hAnsi="宋体"/>
          <w:sz w:val="24"/>
          <w:highlight w:val="yellow"/>
          <w:lang w:val="en-US" w:eastAsia="zh-CN"/>
        </w:rPr>
        <w:t>无拉丝纹、</w:t>
      </w:r>
      <w:r>
        <w:rPr>
          <w:rFonts w:hint="eastAsia" w:ascii="宋体" w:hAnsi="宋体"/>
          <w:sz w:val="24"/>
          <w:highlight w:val="yellow"/>
        </w:rPr>
        <w:t>无颗粒、彩虹及划伤等缺陷。。</w:t>
      </w:r>
    </w:p>
    <w:p>
      <w:pPr>
        <w:spacing w:line="360" w:lineRule="auto"/>
        <w:ind w:firstLine="360" w:firstLineChars="150"/>
        <w:rPr>
          <w:rFonts w:ascii="宋体" w:hAnsi="宋体"/>
          <w:sz w:val="24"/>
        </w:rPr>
      </w:pPr>
      <w:r>
        <w:rPr>
          <w:rFonts w:hint="eastAsia" w:ascii="宋体" w:hAnsi="宋体"/>
          <w:sz w:val="24"/>
        </w:rPr>
        <w:t>3、</w:t>
      </w:r>
      <w:r>
        <w:rPr>
          <w:rFonts w:hint="eastAsia"/>
          <w:sz w:val="24"/>
        </w:rPr>
        <w:t>投标人</w:t>
      </w:r>
      <w:r>
        <w:rPr>
          <w:rFonts w:hint="eastAsia" w:ascii="宋体" w:hAnsi="宋体"/>
          <w:sz w:val="24"/>
        </w:rPr>
        <w:t>提供的本合同项下的货物质量保证期为本合同项下货物出厂之日</w:t>
      </w:r>
      <w:r>
        <w:rPr>
          <w:rFonts w:hint="eastAsia" w:ascii="宋体" w:hAnsi="宋体"/>
          <w:sz w:val="24"/>
          <w:highlight w:val="none"/>
        </w:rPr>
        <w:t>起</w:t>
      </w:r>
      <w:r>
        <w:rPr>
          <w:rFonts w:hint="eastAsia" w:ascii="宋体" w:hAnsi="宋体"/>
          <w:sz w:val="24"/>
          <w:highlight w:val="yellow"/>
          <w:lang w:eastAsia="zh-CN"/>
        </w:rPr>
        <w:t>户外二十</w:t>
      </w:r>
      <w:r>
        <w:rPr>
          <w:rFonts w:hint="eastAsia" w:ascii="宋体" w:hAnsi="宋体"/>
          <w:sz w:val="24"/>
          <w:highlight w:val="yellow"/>
        </w:rPr>
        <w:t>年</w:t>
      </w:r>
      <w:r>
        <w:rPr>
          <w:rFonts w:hint="eastAsia" w:ascii="宋体" w:hAnsi="宋体"/>
          <w:sz w:val="24"/>
        </w:rPr>
        <w:t>。</w:t>
      </w:r>
    </w:p>
    <w:p>
      <w:pPr>
        <w:spacing w:line="360" w:lineRule="auto"/>
        <w:ind w:firstLine="360" w:firstLineChars="150"/>
        <w:rPr>
          <w:rFonts w:hint="eastAsia" w:ascii="宋体" w:hAnsi="宋体"/>
          <w:sz w:val="24"/>
        </w:rPr>
      </w:pPr>
      <w:r>
        <w:rPr>
          <w:rFonts w:hint="eastAsia" w:ascii="宋体" w:hAnsi="宋体"/>
          <w:sz w:val="24"/>
        </w:rPr>
        <w:t>4、</w:t>
      </w:r>
      <w:r>
        <w:rPr>
          <w:rFonts w:hint="eastAsia"/>
          <w:sz w:val="24"/>
        </w:rPr>
        <w:t>颜色按</w:t>
      </w:r>
      <w:r>
        <w:rPr>
          <w:rFonts w:hint="eastAsia"/>
          <w:bCs/>
          <w:sz w:val="24"/>
        </w:rPr>
        <w:t>招标人</w:t>
      </w:r>
      <w:r>
        <w:rPr>
          <w:rFonts w:hint="eastAsia"/>
          <w:sz w:val="24"/>
        </w:rPr>
        <w:t>封样，</w:t>
      </w:r>
      <w:r>
        <w:rPr>
          <w:rFonts w:hint="eastAsia"/>
          <w:bCs/>
          <w:sz w:val="24"/>
        </w:rPr>
        <w:t>招标人</w:t>
      </w:r>
      <w:r>
        <w:rPr>
          <w:rFonts w:hint="eastAsia"/>
          <w:sz w:val="24"/>
        </w:rPr>
        <w:t>严格按照图纸及封样色板验收</w:t>
      </w:r>
      <w:r>
        <w:rPr>
          <w:rFonts w:hint="eastAsia" w:ascii="宋体" w:hAnsi="宋体"/>
          <w:sz w:val="24"/>
        </w:rPr>
        <w:t>。</w:t>
      </w:r>
    </w:p>
    <w:p>
      <w:pPr>
        <w:pStyle w:val="2"/>
        <w:numPr>
          <w:ilvl w:val="0"/>
          <w:numId w:val="1"/>
        </w:numPr>
        <w:spacing w:line="360" w:lineRule="auto"/>
        <w:ind w:left="0" w:leftChars="0" w:firstLine="0" w:firstLineChars="0"/>
        <w:jc w:val="both"/>
        <w:rPr>
          <w:rFonts w:hint="eastAsia"/>
          <w:b/>
          <w:sz w:val="32"/>
          <w:lang w:eastAsia="zh-CN"/>
        </w:rPr>
      </w:pPr>
      <w:r>
        <w:rPr>
          <w:rFonts w:hint="eastAsia"/>
          <w:b/>
          <w:sz w:val="32"/>
          <w:lang w:eastAsia="zh-CN"/>
        </w:rPr>
        <w:t>承包方式：</w:t>
      </w:r>
    </w:p>
    <w:p>
      <w:pPr>
        <w:spacing w:line="360" w:lineRule="auto"/>
        <w:ind w:firstLine="480" w:firstLineChars="200"/>
        <w:jc w:val="both"/>
        <w:rPr>
          <w:sz w:val="24"/>
        </w:rPr>
      </w:pPr>
      <w:r>
        <w:rPr>
          <w:rFonts w:hint="eastAsia"/>
          <w:sz w:val="24"/>
        </w:rPr>
        <w:t>本次招标的所有阳极氧化铝板均由投标人按甲方实际订购清单和最终确定的合同价供货。</w:t>
      </w:r>
    </w:p>
    <w:p>
      <w:pPr>
        <w:pStyle w:val="2"/>
        <w:numPr>
          <w:ilvl w:val="0"/>
          <w:numId w:val="0"/>
        </w:numPr>
        <w:spacing w:line="360" w:lineRule="auto"/>
        <w:ind w:leftChars="0" w:firstLine="480" w:firstLineChars="200"/>
        <w:jc w:val="both"/>
        <w:rPr>
          <w:rFonts w:hint="eastAsia"/>
          <w:sz w:val="24"/>
        </w:rPr>
      </w:pPr>
      <w:r>
        <w:rPr>
          <w:rFonts w:hint="eastAsia"/>
          <w:sz w:val="24"/>
        </w:rPr>
        <w:t>投标人可根据自身情况</w:t>
      </w:r>
      <w:r>
        <w:rPr>
          <w:rFonts w:hint="eastAsia"/>
          <w:sz w:val="24"/>
          <w:u w:val="single"/>
        </w:rPr>
        <w:t>对所有项目报价或只对其中几个项目报价，原则上侧重于投标单位能对所有材料项目给予报价</w:t>
      </w:r>
      <w:r>
        <w:rPr>
          <w:rFonts w:hint="eastAsia"/>
          <w:sz w:val="24"/>
        </w:rPr>
        <w:t>。发包人有权根据报价结果集中采购或分单位采购。</w:t>
      </w:r>
    </w:p>
    <w:p>
      <w:pPr>
        <w:numPr>
          <w:ilvl w:val="0"/>
          <w:numId w:val="1"/>
        </w:numPr>
        <w:spacing w:line="360" w:lineRule="auto"/>
        <w:ind w:left="0" w:leftChars="0" w:firstLine="0" w:firstLineChars="0"/>
        <w:rPr>
          <w:rFonts w:hint="eastAsia" w:cs="Times New Roman"/>
          <w:b/>
          <w:kern w:val="2"/>
          <w:sz w:val="32"/>
          <w:szCs w:val="21"/>
          <w:lang w:val="en-US" w:eastAsia="zh-CN" w:bidi="ar-SA"/>
        </w:rPr>
      </w:pPr>
      <w:r>
        <w:rPr>
          <w:rFonts w:hint="eastAsia" w:ascii="Times New Roman" w:hAnsi="Times New Roman" w:eastAsia="宋体" w:cs="Times New Roman"/>
          <w:b/>
          <w:kern w:val="2"/>
          <w:sz w:val="32"/>
          <w:szCs w:val="21"/>
          <w:lang w:val="en-US" w:eastAsia="zh-CN" w:bidi="ar-SA"/>
        </w:rPr>
        <w:t>投标费用及投标资料</w:t>
      </w:r>
      <w:r>
        <w:rPr>
          <w:rFonts w:hint="eastAsia" w:cs="Times New Roman"/>
          <w:b/>
          <w:kern w:val="2"/>
          <w:sz w:val="32"/>
          <w:szCs w:val="21"/>
          <w:lang w:val="en-US" w:eastAsia="zh-CN" w:bidi="ar-SA"/>
        </w:rPr>
        <w:t>：</w:t>
      </w:r>
    </w:p>
    <w:p>
      <w:pPr>
        <w:spacing w:line="360" w:lineRule="auto"/>
        <w:ind w:firstLine="480" w:firstLineChars="200"/>
        <w:textAlignment w:val="baseline"/>
        <w:rPr>
          <w:rFonts w:hint="eastAsia"/>
          <w:sz w:val="24"/>
        </w:rPr>
      </w:pPr>
      <w:r>
        <w:rPr>
          <w:rFonts w:hint="eastAsia"/>
          <w:sz w:val="24"/>
        </w:rPr>
        <w:t>本次投标保证金人民币</w:t>
      </w:r>
      <w:r>
        <w:rPr>
          <w:rFonts w:hint="eastAsia"/>
          <w:sz w:val="24"/>
          <w:lang w:eastAsia="zh-CN"/>
        </w:rPr>
        <w:t>贰</w:t>
      </w:r>
      <w:r>
        <w:rPr>
          <w:rFonts w:hint="eastAsia"/>
          <w:sz w:val="24"/>
        </w:rPr>
        <w:t xml:space="preserve">万元整（¥  </w:t>
      </w:r>
      <w:r>
        <w:rPr>
          <w:rFonts w:hint="eastAsia"/>
          <w:sz w:val="24"/>
          <w:lang w:val="en-US" w:eastAsia="zh-CN"/>
        </w:rPr>
        <w:t>2</w:t>
      </w:r>
      <w:r>
        <w:rPr>
          <w:rFonts w:hint="eastAsia"/>
          <w:sz w:val="24"/>
        </w:rPr>
        <w:t>0000.00元），投标保证金需在招标截止之日前电汇至下列帐户：</w:t>
      </w:r>
      <w:r>
        <w:rPr>
          <w:rFonts w:hint="eastAsia"/>
          <w:sz w:val="24"/>
          <w:lang w:eastAsia="zh-CN"/>
        </w:rPr>
        <w:t>（</w:t>
      </w:r>
      <w:r>
        <w:rPr>
          <w:rFonts w:hint="eastAsia"/>
          <w:sz w:val="24"/>
        </w:rPr>
        <w:t>收款人：方大新材料（江西）有限公司</w:t>
      </w:r>
      <w:r>
        <w:rPr>
          <w:rFonts w:hint="eastAsia"/>
          <w:sz w:val="24"/>
          <w:lang w:eastAsia="zh-CN"/>
        </w:rPr>
        <w:t>，开户银行：</w:t>
      </w:r>
      <w:r>
        <w:rPr>
          <w:rFonts w:hint="eastAsia"/>
          <w:sz w:val="24"/>
        </w:rPr>
        <w:t>交通银行南昌市北京东路支行</w:t>
      </w:r>
      <w:r>
        <w:rPr>
          <w:rFonts w:hint="eastAsia"/>
          <w:sz w:val="24"/>
          <w:lang w:eastAsia="zh-CN"/>
        </w:rPr>
        <w:t>，账号：</w:t>
      </w:r>
      <w:r>
        <w:rPr>
          <w:rFonts w:hint="eastAsia"/>
          <w:sz w:val="24"/>
        </w:rPr>
        <w:t>361606000018000293796</w:t>
      </w:r>
      <w:r>
        <w:rPr>
          <w:rFonts w:hint="eastAsia"/>
          <w:sz w:val="24"/>
          <w:lang w:eastAsia="zh-CN"/>
        </w:rPr>
        <w:t>）</w:t>
      </w:r>
      <w:r>
        <w:rPr>
          <w:rFonts w:hint="eastAsia"/>
          <w:sz w:val="24"/>
        </w:rPr>
        <w:t>对于未能按要求提交投标保证金，投标文件将按有关条款不予受理或作无效标处理。</w:t>
      </w:r>
    </w:p>
    <w:p>
      <w:pPr>
        <w:pStyle w:val="2"/>
        <w:spacing w:line="360" w:lineRule="auto"/>
        <w:ind w:firstLine="480" w:firstLineChars="200"/>
        <w:rPr>
          <w:rFonts w:hint="eastAsia"/>
          <w:sz w:val="24"/>
        </w:rPr>
      </w:pPr>
      <w:r>
        <w:rPr>
          <w:rFonts w:hint="eastAsia"/>
          <w:sz w:val="24"/>
        </w:rPr>
        <w:t>招标人在确定本次招标中标单位后</w:t>
      </w:r>
      <w:r>
        <w:rPr>
          <w:rFonts w:hint="eastAsia"/>
          <w:sz w:val="24"/>
          <w:u w:val="single"/>
        </w:rPr>
        <w:t xml:space="preserve">   7  </w:t>
      </w:r>
      <w:r>
        <w:rPr>
          <w:rFonts w:hint="eastAsia"/>
          <w:sz w:val="24"/>
        </w:rPr>
        <w:t>个工作日退还未中标的投标人投标保证金，投标保证金无息返还。中标单位</w:t>
      </w:r>
      <w:r>
        <w:rPr>
          <w:rFonts w:hint="eastAsia"/>
          <w:sz w:val="24"/>
          <w:lang w:eastAsia="zh-CN"/>
        </w:rPr>
        <w:t>，</w:t>
      </w:r>
      <w:r>
        <w:rPr>
          <w:rFonts w:hint="eastAsia"/>
          <w:sz w:val="24"/>
        </w:rPr>
        <w:t>其投标保证金将在合同签订后自动转为合同履约保证金，合同履约保证金在全部到货且验收合格（若包含安装则在全部到货安装并验收合格）后10个工作日内无息退还。</w:t>
      </w:r>
    </w:p>
    <w:p>
      <w:pPr>
        <w:widowControl w:val="0"/>
        <w:autoSpaceDE w:val="0"/>
        <w:autoSpaceDN w:val="0"/>
        <w:adjustRightInd w:val="0"/>
        <w:spacing w:line="360" w:lineRule="auto"/>
        <w:ind w:left="0" w:leftChars="0" w:firstLine="480" w:firstLineChars="200"/>
        <w:textAlignment w:val="baseline"/>
        <w:rPr>
          <w:sz w:val="24"/>
        </w:rPr>
      </w:pPr>
      <w:r>
        <w:rPr>
          <w:rFonts w:hint="eastAsia"/>
          <w:sz w:val="24"/>
        </w:rPr>
        <w:t>如投标人有下列任何情形发生时，招标人有权取消其投标或者中标资格，没收其投标保证金，给招标人造成的损失超过投标保证金数额的，投标人对超过部分承担赔偿责任：</w:t>
      </w:r>
    </w:p>
    <w:p>
      <w:pPr>
        <w:widowControl w:val="0"/>
        <w:autoSpaceDE w:val="0"/>
        <w:autoSpaceDN w:val="0"/>
        <w:adjustRightInd w:val="0"/>
        <w:spacing w:line="360" w:lineRule="auto"/>
        <w:ind w:left="0" w:leftChars="0" w:firstLine="199" w:firstLineChars="83"/>
        <w:textAlignment w:val="baseline"/>
        <w:rPr>
          <w:sz w:val="24"/>
        </w:rPr>
      </w:pPr>
      <w:r>
        <w:rPr>
          <w:rFonts w:hint="eastAsia"/>
          <w:sz w:val="24"/>
        </w:rPr>
        <w:t>Ø</w:t>
      </w:r>
      <w:r>
        <w:rPr>
          <w:sz w:val="24"/>
        </w:rPr>
        <w:tab/>
      </w:r>
      <w:r>
        <w:rPr>
          <w:rFonts w:hint="eastAsia"/>
          <w:sz w:val="24"/>
        </w:rPr>
        <w:t>投标人在投标有效期内撤回投标文件；</w:t>
      </w:r>
    </w:p>
    <w:p>
      <w:pPr>
        <w:widowControl w:val="0"/>
        <w:autoSpaceDE w:val="0"/>
        <w:autoSpaceDN w:val="0"/>
        <w:adjustRightInd w:val="0"/>
        <w:spacing w:line="360" w:lineRule="auto"/>
        <w:ind w:left="200"/>
        <w:textAlignment w:val="baseline"/>
        <w:rPr>
          <w:sz w:val="24"/>
        </w:rPr>
      </w:pPr>
      <w:r>
        <w:rPr>
          <w:rFonts w:hint="eastAsia"/>
          <w:sz w:val="24"/>
        </w:rPr>
        <w:t>Ø</w:t>
      </w:r>
      <w:r>
        <w:rPr>
          <w:sz w:val="24"/>
        </w:rPr>
        <w:tab/>
      </w:r>
      <w:r>
        <w:rPr>
          <w:rFonts w:hint="eastAsia"/>
          <w:sz w:val="24"/>
        </w:rPr>
        <w:t>中标后拒绝与招标人签订合同；</w:t>
      </w:r>
    </w:p>
    <w:p>
      <w:pPr>
        <w:widowControl w:val="0"/>
        <w:autoSpaceDE w:val="0"/>
        <w:autoSpaceDN w:val="0"/>
        <w:adjustRightInd w:val="0"/>
        <w:spacing w:line="360" w:lineRule="auto"/>
        <w:ind w:left="0" w:leftChars="0" w:firstLine="199" w:firstLineChars="83"/>
        <w:textAlignment w:val="baseline"/>
        <w:rPr>
          <w:rFonts w:hint="eastAsia"/>
          <w:sz w:val="24"/>
        </w:rPr>
      </w:pPr>
      <w:r>
        <w:rPr>
          <w:rFonts w:hint="eastAsia"/>
          <w:sz w:val="24"/>
        </w:rPr>
        <w:t>Ø</w:t>
      </w:r>
      <w:r>
        <w:rPr>
          <w:sz w:val="24"/>
        </w:rPr>
        <w:tab/>
      </w:r>
      <w:r>
        <w:rPr>
          <w:rFonts w:hint="eastAsia"/>
          <w:sz w:val="24"/>
        </w:rPr>
        <w:t>在评标过程中，评标小组发现投标人以他人的名义投标、窜通投标、以行贿手段谋取中标或者以其他弄虚作假方式投标的，严重损害招标人利益、影响其招标工作进行的。招标人不给予投标人投标设计费、样品费用等任何补偿，无论中标与否投标人的所有资料均不退还。</w:t>
      </w:r>
    </w:p>
    <w:p>
      <w:pPr>
        <w:pStyle w:val="2"/>
        <w:numPr>
          <w:ilvl w:val="0"/>
          <w:numId w:val="1"/>
        </w:numPr>
        <w:ind w:left="0" w:leftChars="0" w:firstLine="0" w:firstLineChars="0"/>
        <w:rPr>
          <w:rFonts w:hint="eastAsia" w:cs="Times New Roman"/>
          <w:b/>
          <w:kern w:val="2"/>
          <w:sz w:val="32"/>
          <w:szCs w:val="21"/>
          <w:lang w:val="en-US" w:eastAsia="zh-CN" w:bidi="ar-SA"/>
        </w:rPr>
      </w:pPr>
      <w:r>
        <w:rPr>
          <w:rFonts w:hint="eastAsia" w:ascii="Times New Roman" w:hAnsi="Times New Roman" w:eastAsia="宋体" w:cs="Times New Roman"/>
          <w:b/>
          <w:kern w:val="2"/>
          <w:sz w:val="32"/>
          <w:szCs w:val="21"/>
          <w:lang w:val="en-US" w:eastAsia="zh-CN" w:bidi="ar-SA"/>
        </w:rPr>
        <w:t>投标单位的考察</w:t>
      </w:r>
      <w:r>
        <w:rPr>
          <w:rFonts w:hint="eastAsia" w:cs="Times New Roman"/>
          <w:b/>
          <w:kern w:val="2"/>
          <w:sz w:val="32"/>
          <w:szCs w:val="21"/>
          <w:lang w:val="en-US" w:eastAsia="zh-CN" w:bidi="ar-SA"/>
        </w:rPr>
        <w:t>：</w:t>
      </w:r>
    </w:p>
    <w:p>
      <w:pPr>
        <w:spacing w:line="360" w:lineRule="auto"/>
        <w:ind w:firstLine="480" w:firstLineChars="200"/>
        <w:rPr>
          <w:rFonts w:hint="eastAsia"/>
          <w:sz w:val="24"/>
        </w:rPr>
      </w:pPr>
      <w:r>
        <w:rPr>
          <w:rFonts w:hint="eastAsia"/>
          <w:sz w:val="24"/>
        </w:rPr>
        <w:t>招标人可对投标单位进行实地考察和检查，评定合格后方可承认其投标有效。</w:t>
      </w:r>
    </w:p>
    <w:p>
      <w:pPr>
        <w:pStyle w:val="2"/>
        <w:numPr>
          <w:ilvl w:val="0"/>
          <w:numId w:val="1"/>
        </w:numPr>
        <w:ind w:left="0" w:leftChars="0" w:firstLine="0" w:firstLineChars="0"/>
        <w:rPr>
          <w:rFonts w:hint="eastAsia" w:ascii="Times New Roman" w:hAnsi="Times New Roman" w:eastAsia="宋体" w:cs="Times New Roman"/>
          <w:b/>
          <w:kern w:val="2"/>
          <w:sz w:val="32"/>
          <w:szCs w:val="21"/>
          <w:lang w:val="en-US" w:eastAsia="zh-CN" w:bidi="ar-SA"/>
        </w:rPr>
      </w:pPr>
      <w:r>
        <w:rPr>
          <w:rFonts w:hint="eastAsia" w:ascii="Times New Roman" w:hAnsi="Times New Roman" w:eastAsia="宋体" w:cs="Times New Roman"/>
          <w:b/>
          <w:kern w:val="2"/>
          <w:sz w:val="32"/>
          <w:szCs w:val="21"/>
          <w:lang w:val="en-US" w:eastAsia="zh-CN" w:bidi="ar-SA"/>
        </w:rPr>
        <w:t>招标单位承诺</w:t>
      </w:r>
      <w:r>
        <w:rPr>
          <w:rFonts w:hint="eastAsia" w:cs="Times New Roman"/>
          <w:b/>
          <w:kern w:val="2"/>
          <w:sz w:val="32"/>
          <w:szCs w:val="21"/>
          <w:lang w:val="en-US" w:eastAsia="zh-CN" w:bidi="ar-SA"/>
        </w:rPr>
        <w:t>：</w:t>
      </w:r>
    </w:p>
    <w:p>
      <w:pPr>
        <w:spacing w:line="360" w:lineRule="auto"/>
        <w:ind w:firstLine="480" w:firstLineChars="200"/>
        <w:rPr>
          <w:rFonts w:hint="eastAsia" w:ascii="宋体" w:hAnsi="宋体"/>
          <w:sz w:val="24"/>
        </w:rPr>
      </w:pPr>
      <w:r>
        <w:rPr>
          <w:rFonts w:hint="eastAsia"/>
          <w:sz w:val="24"/>
        </w:rPr>
        <w:t>在整个招标过程中，招标单位坚持公平、公正、公开的原则，但招标单位无任何义务向投标人公布开标、评标和定标的有关细节以及投标人落标的原因。</w:t>
      </w:r>
      <w:r>
        <w:rPr>
          <w:rFonts w:hint="eastAsia" w:ascii="宋体" w:hAnsi="宋体"/>
          <w:sz w:val="24"/>
        </w:rPr>
        <w:t>招标单位投诉电话：0755-26788571-5515 审计中心。</w:t>
      </w:r>
    </w:p>
    <w:p>
      <w:pPr>
        <w:pStyle w:val="2"/>
        <w:numPr>
          <w:ilvl w:val="0"/>
          <w:numId w:val="1"/>
        </w:numPr>
        <w:ind w:left="0" w:leftChars="0" w:firstLine="0" w:firstLineChars="0"/>
        <w:rPr>
          <w:rFonts w:hint="eastAsia" w:ascii="Times New Roman" w:hAnsi="Times New Roman" w:eastAsia="宋体" w:cs="Times New Roman"/>
          <w:b/>
          <w:kern w:val="2"/>
          <w:sz w:val="32"/>
          <w:szCs w:val="21"/>
          <w:lang w:val="en-US" w:eastAsia="zh-CN" w:bidi="ar-SA"/>
        </w:rPr>
      </w:pPr>
      <w:r>
        <w:rPr>
          <w:rFonts w:hint="eastAsia" w:ascii="Times New Roman" w:hAnsi="Times New Roman" w:eastAsia="宋体" w:cs="Times New Roman"/>
          <w:b/>
          <w:kern w:val="2"/>
          <w:sz w:val="32"/>
          <w:szCs w:val="21"/>
          <w:lang w:val="en-US" w:eastAsia="zh-CN" w:bidi="ar-SA"/>
        </w:rPr>
        <w:t>招标时间安排</w:t>
      </w:r>
      <w:r>
        <w:rPr>
          <w:rFonts w:hint="eastAsia" w:cs="Times New Roman"/>
          <w:b/>
          <w:kern w:val="2"/>
          <w:sz w:val="32"/>
          <w:szCs w:val="21"/>
          <w:lang w:val="en-US" w:eastAsia="zh-CN" w:bidi="ar-SA"/>
        </w:rPr>
        <w:t>：</w:t>
      </w:r>
    </w:p>
    <w:p>
      <w:pPr>
        <w:spacing w:line="360" w:lineRule="auto"/>
        <w:ind w:firstLine="480" w:firstLineChars="200"/>
        <w:rPr>
          <w:rFonts w:hint="eastAsia" w:ascii="宋体" w:hAnsi="宋体"/>
          <w:sz w:val="24"/>
          <w:lang w:val="en-US" w:eastAsia="zh-CN"/>
        </w:rPr>
      </w:pPr>
      <w:r>
        <w:rPr>
          <w:rFonts w:hint="eastAsia" w:ascii="宋体" w:hAnsi="宋体"/>
          <w:sz w:val="24"/>
        </w:rPr>
        <w:t>截标时间：投标文件须于</w:t>
      </w:r>
      <w:r>
        <w:rPr>
          <w:rFonts w:hint="eastAsia" w:ascii="宋体" w:hAnsi="宋体"/>
          <w:sz w:val="24"/>
          <w:u w:val="single"/>
        </w:rPr>
        <w:t xml:space="preserve">  20</w:t>
      </w:r>
      <w:r>
        <w:rPr>
          <w:rFonts w:hint="eastAsia" w:ascii="宋体" w:hAnsi="宋体"/>
          <w:sz w:val="24"/>
          <w:u w:val="single"/>
          <w:lang w:val="en-US" w:eastAsia="zh-CN"/>
        </w:rPr>
        <w:t>23</w:t>
      </w:r>
      <w:r>
        <w:rPr>
          <w:rFonts w:hint="eastAsia" w:ascii="宋体" w:hAnsi="宋体"/>
          <w:sz w:val="24"/>
          <w:u w:val="single"/>
        </w:rPr>
        <w:t>年</w:t>
      </w:r>
      <w:r>
        <w:rPr>
          <w:rFonts w:hint="eastAsia" w:ascii="宋体" w:hAnsi="宋体"/>
          <w:sz w:val="24"/>
          <w:highlight w:val="green"/>
          <w:u w:val="single"/>
          <w:lang w:val="en-US" w:eastAsia="zh-CN"/>
        </w:rPr>
        <w:t>3</w:t>
      </w:r>
      <w:r>
        <w:rPr>
          <w:rFonts w:hint="eastAsia" w:ascii="宋体" w:hAnsi="宋体"/>
          <w:sz w:val="24"/>
          <w:highlight w:val="green"/>
          <w:u w:val="single"/>
        </w:rPr>
        <w:t>月</w:t>
      </w:r>
      <w:r>
        <w:rPr>
          <w:rFonts w:hint="eastAsia" w:ascii="宋体" w:hAnsi="宋体"/>
          <w:sz w:val="24"/>
          <w:highlight w:val="green"/>
          <w:u w:val="single"/>
          <w:lang w:val="en-US" w:eastAsia="zh-CN"/>
        </w:rPr>
        <w:t>21</w:t>
      </w:r>
      <w:r>
        <w:rPr>
          <w:rFonts w:hint="eastAsia" w:ascii="宋体" w:hAnsi="宋体"/>
          <w:sz w:val="24"/>
          <w:highlight w:val="green"/>
          <w:u w:val="single"/>
        </w:rPr>
        <w:t>日</w:t>
      </w:r>
      <w:r>
        <w:rPr>
          <w:rFonts w:hint="eastAsia" w:ascii="宋体" w:hAnsi="宋体"/>
          <w:sz w:val="24"/>
        </w:rPr>
        <w:t>前送至方大新材料（江西）有限公司，地点：南昌市高新大道北方大科技园，联系人：</w:t>
      </w:r>
      <w:r>
        <w:rPr>
          <w:rFonts w:hint="eastAsia" w:ascii="宋体" w:hAnsi="宋体"/>
          <w:sz w:val="24"/>
          <w:lang w:val="en-US" w:eastAsia="zh-CN"/>
        </w:rPr>
        <w:t>何雪凌</w:t>
      </w:r>
      <w:r>
        <w:rPr>
          <w:rFonts w:hint="eastAsia" w:ascii="宋体" w:hAnsi="宋体"/>
          <w:sz w:val="24"/>
          <w:lang w:eastAsia="zh-CN"/>
        </w:rPr>
        <w:t>，</w:t>
      </w:r>
      <w:r>
        <w:rPr>
          <w:rFonts w:hint="eastAsia" w:ascii="宋体" w:hAnsi="宋体"/>
          <w:sz w:val="24"/>
        </w:rPr>
        <w:t>手机：</w:t>
      </w:r>
      <w:r>
        <w:rPr>
          <w:rFonts w:hint="eastAsia" w:ascii="宋体" w:hAnsi="宋体"/>
          <w:sz w:val="24"/>
          <w:lang w:val="en-US" w:eastAsia="zh-CN"/>
        </w:rPr>
        <w:t>13803512353</w:t>
      </w:r>
    </w:p>
    <w:p>
      <w:pPr>
        <w:numPr>
          <w:ilvl w:val="0"/>
          <w:numId w:val="1"/>
        </w:numPr>
        <w:spacing w:line="400" w:lineRule="exact"/>
        <w:ind w:left="0" w:leftChars="0" w:firstLine="0" w:firstLineChars="0"/>
        <w:rPr>
          <w:rFonts w:hint="eastAsia" w:cs="Times New Roman"/>
          <w:b/>
          <w:kern w:val="2"/>
          <w:sz w:val="32"/>
          <w:szCs w:val="21"/>
          <w:lang w:val="en-US" w:eastAsia="zh-CN" w:bidi="ar-SA"/>
        </w:rPr>
      </w:pPr>
      <w:r>
        <w:rPr>
          <w:rFonts w:hint="eastAsia" w:ascii="Times New Roman" w:hAnsi="Times New Roman" w:eastAsia="宋体" w:cs="Times New Roman"/>
          <w:b/>
          <w:kern w:val="2"/>
          <w:sz w:val="32"/>
          <w:szCs w:val="21"/>
          <w:lang w:val="en-US" w:eastAsia="zh-CN" w:bidi="ar-SA"/>
        </w:rPr>
        <w:t>投标书的编制</w:t>
      </w:r>
      <w:r>
        <w:rPr>
          <w:rFonts w:hint="eastAsia" w:cs="Times New Roman"/>
          <w:b/>
          <w:kern w:val="2"/>
          <w:sz w:val="32"/>
          <w:szCs w:val="21"/>
          <w:lang w:val="en-US" w:eastAsia="zh-CN" w:bidi="ar-SA"/>
        </w:rPr>
        <w:t>：</w:t>
      </w:r>
    </w:p>
    <w:p>
      <w:pPr>
        <w:spacing w:line="360" w:lineRule="auto"/>
        <w:ind w:firstLine="480" w:firstLineChars="200"/>
        <w:rPr>
          <w:sz w:val="24"/>
        </w:rPr>
      </w:pPr>
      <w:r>
        <w:rPr>
          <w:rFonts w:hint="eastAsia"/>
          <w:sz w:val="24"/>
        </w:rPr>
        <w:t>投标书的组成：</w:t>
      </w:r>
    </w:p>
    <w:p>
      <w:pPr>
        <w:spacing w:line="360" w:lineRule="auto"/>
        <w:rPr>
          <w:sz w:val="24"/>
        </w:rPr>
      </w:pPr>
      <w:r>
        <w:rPr>
          <w:rFonts w:hint="eastAsia"/>
          <w:sz w:val="24"/>
        </w:rPr>
        <w:t>（1）《</w:t>
      </w:r>
      <w:r>
        <w:rPr>
          <w:rFonts w:hint="eastAsia"/>
          <w:sz w:val="24"/>
          <w:lang w:eastAsia="zh-CN"/>
        </w:rPr>
        <w:t>阳极氧化</w:t>
      </w:r>
      <w:r>
        <w:rPr>
          <w:rFonts w:hint="eastAsia"/>
          <w:sz w:val="24"/>
        </w:rPr>
        <w:t>铝板供应综合表》。*</w:t>
      </w:r>
    </w:p>
    <w:p>
      <w:pPr>
        <w:spacing w:line="360" w:lineRule="auto"/>
        <w:rPr>
          <w:sz w:val="24"/>
        </w:rPr>
      </w:pPr>
      <w:r>
        <w:rPr>
          <w:rFonts w:hint="eastAsia"/>
          <w:sz w:val="24"/>
        </w:rPr>
        <w:t>（2）《</w:t>
      </w:r>
      <w:r>
        <w:rPr>
          <w:rFonts w:hint="eastAsia"/>
          <w:sz w:val="24"/>
          <w:lang w:eastAsia="zh-CN"/>
        </w:rPr>
        <w:t>阳极氧化</w:t>
      </w:r>
      <w:r>
        <w:rPr>
          <w:rFonts w:hint="eastAsia"/>
          <w:sz w:val="24"/>
        </w:rPr>
        <w:t>铝板报价明细表》。*</w:t>
      </w:r>
    </w:p>
    <w:p>
      <w:pPr>
        <w:spacing w:line="360" w:lineRule="auto"/>
        <w:rPr>
          <w:sz w:val="24"/>
        </w:rPr>
      </w:pPr>
      <w:r>
        <w:rPr>
          <w:rFonts w:hint="eastAsia"/>
          <w:sz w:val="24"/>
        </w:rPr>
        <w:t>（3）投标人营业执照副本复印件、税务登记证副本复印件、组织机构代码证复印件及其他有关资格和资信证明文件。*</w:t>
      </w:r>
    </w:p>
    <w:p>
      <w:pPr>
        <w:spacing w:line="360" w:lineRule="auto"/>
        <w:rPr>
          <w:sz w:val="24"/>
        </w:rPr>
      </w:pPr>
      <w:r>
        <w:rPr>
          <w:rFonts w:hint="eastAsia"/>
          <w:sz w:val="24"/>
        </w:rPr>
        <w:t>（4）法人代表授权委托书原件。*</w:t>
      </w:r>
    </w:p>
    <w:p>
      <w:pPr>
        <w:spacing w:line="360" w:lineRule="auto"/>
        <w:jc w:val="both"/>
        <w:rPr>
          <w:sz w:val="24"/>
        </w:rPr>
      </w:pPr>
      <w:r>
        <w:rPr>
          <w:rFonts w:hint="eastAsia"/>
          <w:sz w:val="24"/>
        </w:rPr>
        <w:t>（5）企业概况：包括企业概况、近二年内类似业务介绍，价格以外的优惠条件及服务承诺（凡涉及价格的优惠，请在报价汇总中体现）。</w:t>
      </w:r>
    </w:p>
    <w:p>
      <w:pPr>
        <w:spacing w:line="360" w:lineRule="auto"/>
        <w:jc w:val="both"/>
        <w:rPr>
          <w:sz w:val="24"/>
        </w:rPr>
      </w:pPr>
      <w:r>
        <w:rPr>
          <w:rFonts w:hint="eastAsia"/>
          <w:sz w:val="24"/>
        </w:rPr>
        <w:t>（6）投标人上年度财务报表及最近一期的财务报表。</w:t>
      </w:r>
    </w:p>
    <w:p>
      <w:pPr>
        <w:spacing w:line="360" w:lineRule="auto"/>
        <w:rPr>
          <w:sz w:val="24"/>
        </w:rPr>
      </w:pPr>
      <w:r>
        <w:rPr>
          <w:rFonts w:hint="eastAsia"/>
          <w:sz w:val="24"/>
        </w:rPr>
        <w:t>（7）招标文件及有关招标内容的认同程度，如有与招标要求不同之处应列出差异说明。</w:t>
      </w:r>
    </w:p>
    <w:p>
      <w:pPr>
        <w:spacing w:line="360" w:lineRule="auto"/>
        <w:rPr>
          <w:sz w:val="24"/>
        </w:rPr>
      </w:pPr>
      <w:r>
        <w:rPr>
          <w:rFonts w:hint="eastAsia"/>
          <w:sz w:val="24"/>
        </w:rPr>
        <w:t>（8）填写并盖章确认附件1《投标廉洁承诺书》。</w:t>
      </w:r>
      <w:r>
        <w:rPr>
          <w:sz w:val="24"/>
        </w:rPr>
        <w:t>*</w:t>
      </w:r>
    </w:p>
    <w:p>
      <w:pPr>
        <w:spacing w:line="360" w:lineRule="auto"/>
        <w:rPr>
          <w:sz w:val="24"/>
        </w:rPr>
      </w:pPr>
      <w:r>
        <w:rPr>
          <w:rFonts w:hint="eastAsia"/>
          <w:sz w:val="24"/>
        </w:rPr>
        <w:t>（9）填写并盖章确认附件2《合作廉洁承诺书》。</w:t>
      </w:r>
      <w:r>
        <w:rPr>
          <w:sz w:val="24"/>
        </w:rPr>
        <w:t>*</w:t>
      </w:r>
    </w:p>
    <w:p>
      <w:pPr>
        <w:spacing w:line="360" w:lineRule="auto"/>
        <w:rPr>
          <w:sz w:val="24"/>
        </w:rPr>
      </w:pPr>
      <w:r>
        <w:rPr>
          <w:rFonts w:hint="eastAsia"/>
          <w:sz w:val="24"/>
        </w:rPr>
        <w:t>（10）填写并盖章确认附件3《招标文件回执》。*</w:t>
      </w:r>
    </w:p>
    <w:p>
      <w:pPr>
        <w:spacing w:line="360" w:lineRule="auto"/>
        <w:rPr>
          <w:sz w:val="24"/>
        </w:rPr>
      </w:pPr>
      <w:r>
        <w:rPr>
          <w:rFonts w:hint="eastAsia"/>
          <w:sz w:val="24"/>
          <w:szCs w:val="24"/>
        </w:rPr>
        <w:t>（11）</w:t>
      </w:r>
      <w:r>
        <w:rPr>
          <w:sz w:val="24"/>
          <w:szCs w:val="24"/>
        </w:rPr>
        <w:t>填写并盖章确认附件</w:t>
      </w:r>
      <w:r>
        <w:rPr>
          <w:rFonts w:hint="eastAsia"/>
          <w:sz w:val="24"/>
          <w:szCs w:val="24"/>
        </w:rPr>
        <w:t>4</w:t>
      </w:r>
      <w:r>
        <w:rPr>
          <w:sz w:val="24"/>
          <w:szCs w:val="24"/>
        </w:rPr>
        <w:t>《招标文件合同范本确认函》。*</w:t>
      </w:r>
    </w:p>
    <w:p>
      <w:pPr>
        <w:spacing w:line="360" w:lineRule="auto"/>
        <w:rPr>
          <w:rFonts w:hint="eastAsia"/>
          <w:sz w:val="24"/>
        </w:rPr>
      </w:pPr>
      <w:r>
        <w:rPr>
          <w:rFonts w:hint="eastAsia"/>
          <w:sz w:val="24"/>
        </w:rPr>
        <w:t>（12）带 * 号为必要提供投标文件。</w:t>
      </w:r>
    </w:p>
    <w:p>
      <w:pPr>
        <w:pStyle w:val="2"/>
        <w:rPr>
          <w:rFonts w:hint="eastAsia" w:cs="Times New Roman"/>
          <w:b/>
          <w:kern w:val="2"/>
          <w:sz w:val="32"/>
          <w:szCs w:val="21"/>
          <w:lang w:val="en-US" w:eastAsia="zh-CN" w:bidi="ar-SA"/>
        </w:rPr>
      </w:pPr>
      <w:r>
        <w:rPr>
          <w:rFonts w:hint="eastAsia" w:ascii="Times New Roman" w:hAnsi="Times New Roman" w:eastAsia="宋体" w:cs="Times New Roman"/>
          <w:b/>
          <w:kern w:val="2"/>
          <w:sz w:val="32"/>
          <w:szCs w:val="21"/>
          <w:lang w:val="en-US" w:eastAsia="zh-CN" w:bidi="ar-SA"/>
        </w:rPr>
        <w:t>十一、声明</w:t>
      </w:r>
      <w:r>
        <w:rPr>
          <w:rFonts w:hint="eastAsia" w:cs="Times New Roman"/>
          <w:b/>
          <w:kern w:val="2"/>
          <w:sz w:val="32"/>
          <w:szCs w:val="21"/>
          <w:lang w:val="en-US" w:eastAsia="zh-CN" w:bidi="ar-SA"/>
        </w:rPr>
        <w:t>：</w:t>
      </w:r>
    </w:p>
    <w:p>
      <w:pPr>
        <w:tabs>
          <w:tab w:val="left" w:pos="567"/>
        </w:tabs>
        <w:spacing w:line="400" w:lineRule="atLeast"/>
        <w:rPr>
          <w:b/>
          <w:sz w:val="24"/>
        </w:rPr>
      </w:pPr>
      <w:r>
        <w:rPr>
          <w:rFonts w:hint="eastAsia"/>
          <w:sz w:val="24"/>
        </w:rPr>
        <w:t>（1）</w:t>
      </w:r>
      <w:r>
        <w:rPr>
          <w:rFonts w:hint="eastAsia"/>
          <w:bCs/>
          <w:sz w:val="24"/>
        </w:rPr>
        <w:t>投标人</w:t>
      </w:r>
      <w:r>
        <w:rPr>
          <w:rFonts w:hint="eastAsia"/>
          <w:sz w:val="24"/>
        </w:rPr>
        <w:t>必须填写</w:t>
      </w:r>
      <w:r>
        <w:rPr>
          <w:rFonts w:hint="eastAsia" w:ascii="新宋体" w:hAnsi="新宋体" w:eastAsia="新宋体"/>
          <w:sz w:val="24"/>
        </w:rPr>
        <w:t>《</w:t>
      </w:r>
      <w:r>
        <w:rPr>
          <w:rFonts w:hint="eastAsia"/>
          <w:sz w:val="24"/>
          <w:lang w:eastAsia="zh-CN"/>
        </w:rPr>
        <w:t>阳极氧化</w:t>
      </w:r>
      <w:r>
        <w:rPr>
          <w:rFonts w:hint="eastAsia"/>
          <w:sz w:val="24"/>
        </w:rPr>
        <w:t>铝板</w:t>
      </w:r>
      <w:r>
        <w:rPr>
          <w:rFonts w:hint="eastAsia" w:ascii="新宋体" w:hAnsi="新宋体" w:eastAsia="新宋体"/>
          <w:sz w:val="24"/>
        </w:rPr>
        <w:t>供应综合表》和《</w:t>
      </w:r>
      <w:r>
        <w:rPr>
          <w:rFonts w:hint="eastAsia"/>
          <w:sz w:val="24"/>
          <w:lang w:eastAsia="zh-CN"/>
        </w:rPr>
        <w:t>阳极氧化</w:t>
      </w:r>
      <w:r>
        <w:rPr>
          <w:rFonts w:hint="eastAsia"/>
          <w:sz w:val="24"/>
        </w:rPr>
        <w:t>铝板</w:t>
      </w:r>
      <w:r>
        <w:rPr>
          <w:rFonts w:hint="eastAsia" w:ascii="新宋体" w:hAnsi="新宋体" w:eastAsia="新宋体"/>
          <w:sz w:val="24"/>
        </w:rPr>
        <w:t>报价明细表》请</w:t>
      </w:r>
      <w:r>
        <w:rPr>
          <w:rFonts w:hint="eastAsia"/>
          <w:bCs/>
          <w:sz w:val="24"/>
        </w:rPr>
        <w:t>投标人</w:t>
      </w:r>
      <w:r>
        <w:rPr>
          <w:rFonts w:hint="eastAsia" w:ascii="新宋体" w:hAnsi="新宋体" w:eastAsia="新宋体"/>
          <w:sz w:val="24"/>
        </w:rPr>
        <w:t>填写后并盖章后随投标资料邮寄至</w:t>
      </w:r>
      <w:r>
        <w:rPr>
          <w:rFonts w:hint="eastAsia"/>
          <w:bCs/>
          <w:sz w:val="24"/>
        </w:rPr>
        <w:t>招标人</w:t>
      </w:r>
      <w:r>
        <w:rPr>
          <w:rFonts w:hint="eastAsia" w:ascii="新宋体" w:hAnsi="新宋体" w:eastAsia="新宋体"/>
          <w:sz w:val="24"/>
        </w:rPr>
        <w:t>，传真件无效。</w:t>
      </w:r>
    </w:p>
    <w:p>
      <w:pPr>
        <w:spacing w:line="400" w:lineRule="atLeast"/>
        <w:jc w:val="both"/>
        <w:rPr>
          <w:sz w:val="24"/>
        </w:rPr>
      </w:pPr>
      <w:r>
        <w:rPr>
          <w:rFonts w:hint="eastAsia"/>
          <w:sz w:val="24"/>
        </w:rPr>
        <w:t>（2）被选中的供方单位在签订合同时，若坚持提出附加条件和不合理要求时，</w:t>
      </w:r>
      <w:r>
        <w:rPr>
          <w:rFonts w:hint="eastAsia"/>
          <w:bCs/>
          <w:sz w:val="24"/>
        </w:rPr>
        <w:t>招标人</w:t>
      </w:r>
      <w:r>
        <w:rPr>
          <w:rFonts w:hint="eastAsia"/>
          <w:sz w:val="24"/>
        </w:rPr>
        <w:t>有权取消其供应资格。</w:t>
      </w:r>
    </w:p>
    <w:p>
      <w:pPr>
        <w:pStyle w:val="2"/>
        <w:rPr>
          <w:rFonts w:hint="eastAsia" w:cs="Times New Roman"/>
          <w:b/>
          <w:kern w:val="2"/>
          <w:sz w:val="32"/>
          <w:szCs w:val="21"/>
          <w:lang w:val="en-US" w:eastAsia="zh-CN" w:bidi="ar-SA"/>
        </w:rPr>
      </w:pPr>
      <w:r>
        <w:rPr>
          <w:rFonts w:hint="eastAsia"/>
          <w:sz w:val="24"/>
        </w:rPr>
        <w:t>（3）</w:t>
      </w:r>
      <w:r>
        <w:rPr>
          <w:rFonts w:hint="eastAsia" w:ascii="新宋体" w:hAnsi="新宋体" w:eastAsia="新宋体"/>
          <w:sz w:val="24"/>
        </w:rPr>
        <w:t>投标报价邮寄到达截止时期</w:t>
      </w:r>
      <w:r>
        <w:rPr>
          <w:rFonts w:ascii="新宋体" w:hAnsi="新宋体" w:eastAsia="新宋体"/>
          <w:sz w:val="24"/>
          <w:u w:val="single"/>
        </w:rPr>
        <w:t>20</w:t>
      </w:r>
      <w:r>
        <w:rPr>
          <w:rFonts w:hint="eastAsia" w:ascii="新宋体" w:hAnsi="新宋体" w:eastAsia="新宋体"/>
          <w:sz w:val="24"/>
          <w:u w:val="single"/>
        </w:rPr>
        <w:t>2</w:t>
      </w:r>
      <w:r>
        <w:rPr>
          <w:rFonts w:hint="eastAsia" w:ascii="新宋体" w:hAnsi="新宋体" w:eastAsia="新宋体"/>
          <w:sz w:val="24"/>
          <w:u w:val="single"/>
          <w:lang w:val="en-US" w:eastAsia="zh-CN"/>
        </w:rPr>
        <w:t>3</w:t>
      </w:r>
      <w:r>
        <w:rPr>
          <w:rFonts w:hint="eastAsia" w:ascii="新宋体" w:hAnsi="新宋体" w:eastAsia="新宋体"/>
          <w:sz w:val="24"/>
        </w:rPr>
        <w:t>年</w:t>
      </w:r>
      <w:r>
        <w:rPr>
          <w:rFonts w:hint="eastAsia" w:ascii="新宋体" w:hAnsi="新宋体" w:eastAsia="新宋体"/>
          <w:sz w:val="24"/>
          <w:lang w:val="en-US" w:eastAsia="zh-CN"/>
        </w:rPr>
        <w:t>3</w:t>
      </w:r>
      <w:r>
        <w:rPr>
          <w:rFonts w:hint="eastAsia" w:ascii="新宋体" w:hAnsi="新宋体" w:eastAsia="新宋体"/>
          <w:sz w:val="24"/>
          <w:highlight w:val="green"/>
        </w:rPr>
        <w:t>月</w:t>
      </w:r>
      <w:r>
        <w:rPr>
          <w:rFonts w:hint="eastAsia" w:ascii="新宋体" w:hAnsi="新宋体" w:eastAsia="新宋体"/>
          <w:sz w:val="24"/>
          <w:highlight w:val="green"/>
          <w:u w:val="single"/>
          <w:lang w:val="en-US" w:eastAsia="zh-CN"/>
        </w:rPr>
        <w:t>21</w:t>
      </w:r>
      <w:r>
        <w:rPr>
          <w:rFonts w:hint="eastAsia" w:ascii="新宋体" w:hAnsi="新宋体" w:eastAsia="新宋体"/>
          <w:sz w:val="24"/>
          <w:highlight w:val="green"/>
        </w:rPr>
        <w:t>日前</w:t>
      </w:r>
      <w:r>
        <w:rPr>
          <w:rFonts w:hint="eastAsia" w:ascii="新宋体" w:hAnsi="新宋体" w:eastAsia="新宋体"/>
          <w:sz w:val="24"/>
        </w:rPr>
        <w:t>。</w:t>
      </w:r>
    </w:p>
    <w:p>
      <w:pPr>
        <w:pStyle w:val="2"/>
        <w:rPr>
          <w:rFonts w:hint="eastAsia"/>
          <w:lang w:val="en-US" w:eastAsia="zh-CN"/>
        </w:rPr>
      </w:pPr>
    </w:p>
    <w:p>
      <w:pPr>
        <w:pStyle w:val="2"/>
        <w:numPr>
          <w:ilvl w:val="0"/>
          <w:numId w:val="0"/>
        </w:numPr>
        <w:ind w:leftChars="0"/>
        <w:rPr>
          <w:rFonts w:hint="eastAsia"/>
          <w:lang w:val="en-US" w:eastAsia="zh-CN"/>
        </w:rPr>
      </w:pPr>
    </w:p>
    <w:p>
      <w:pPr>
        <w:pStyle w:val="2"/>
        <w:spacing w:line="360" w:lineRule="auto"/>
        <w:jc w:val="right"/>
        <w:rPr>
          <w:rFonts w:hint="eastAsia"/>
          <w:sz w:val="24"/>
          <w:szCs w:val="24"/>
          <w:lang w:val="en-US" w:eastAsia="zh-CN"/>
        </w:rPr>
      </w:pPr>
      <w:r>
        <w:rPr>
          <w:rFonts w:hint="eastAsia"/>
          <w:sz w:val="24"/>
          <w:szCs w:val="24"/>
          <w:lang w:val="en-US" w:eastAsia="zh-CN"/>
        </w:rPr>
        <w:t>方大新材料（江西）有限公司</w:t>
      </w:r>
    </w:p>
    <w:p>
      <w:pPr>
        <w:pStyle w:val="2"/>
        <w:spacing w:line="360" w:lineRule="auto"/>
        <w:jc w:val="right"/>
        <w:rPr>
          <w:rFonts w:hint="default"/>
          <w:lang w:val="en-US" w:eastAsia="zh-CN"/>
        </w:rPr>
      </w:pPr>
      <w:r>
        <w:rPr>
          <w:rFonts w:hint="eastAsia"/>
          <w:sz w:val="24"/>
          <w:szCs w:val="24"/>
          <w:lang w:val="en-US" w:eastAsia="zh-CN"/>
        </w:rPr>
        <w:t>2023年3月15日</w:t>
      </w:r>
    </w:p>
    <w:p>
      <w:pPr>
        <w:pStyle w:val="2"/>
        <w:numPr>
          <w:ilvl w:val="0"/>
          <w:numId w:val="0"/>
        </w:numPr>
        <w:ind w:leftChars="0"/>
        <w:rPr>
          <w:rFonts w:hint="eastAsia" w:ascii="Times New Roman" w:hAnsi="Times New Roman" w:eastAsia="宋体" w:cs="Times New Roman"/>
          <w:b/>
          <w:kern w:val="2"/>
          <w:sz w:val="32"/>
          <w:szCs w:val="21"/>
          <w:lang w:val="en-US" w:eastAsia="zh-CN" w:bidi="ar-SA"/>
        </w:rPr>
      </w:pPr>
    </w:p>
    <w:p>
      <w:pPr>
        <w:spacing w:line="360" w:lineRule="auto"/>
        <w:ind w:firstLine="480" w:firstLineChars="200"/>
        <w:jc w:val="both"/>
        <w:rPr>
          <w:sz w:val="24"/>
        </w:rPr>
      </w:pPr>
    </w:p>
    <w:p>
      <w:pPr>
        <w:pStyle w:val="2"/>
        <w:numPr>
          <w:ilvl w:val="0"/>
          <w:numId w:val="0"/>
        </w:numPr>
        <w:tabs>
          <w:tab w:val="left" w:pos="2633"/>
        </w:tabs>
        <w:ind w:leftChars="0"/>
        <w:rPr>
          <w:rFonts w:hint="eastAsia" w:cs="Times New Roman"/>
          <w:b/>
          <w:kern w:val="2"/>
          <w:sz w:val="32"/>
          <w:szCs w:val="21"/>
          <w:lang w:val="en-US" w:eastAsia="zh-CN" w:bidi="ar-SA"/>
        </w:rPr>
      </w:pPr>
      <w:r>
        <w:rPr>
          <w:rFonts w:hint="eastAsia" w:cs="Times New Roman"/>
          <w:b/>
          <w:kern w:val="2"/>
          <w:sz w:val="32"/>
          <w:szCs w:val="21"/>
          <w:lang w:val="en-US" w:eastAsia="zh-CN" w:bidi="ar-SA"/>
        </w:rPr>
        <w:tab/>
      </w:r>
    </w:p>
    <w:p>
      <w:pPr>
        <w:pStyle w:val="2"/>
        <w:numPr>
          <w:ilvl w:val="0"/>
          <w:numId w:val="0"/>
        </w:numPr>
        <w:tabs>
          <w:tab w:val="left" w:pos="2633"/>
        </w:tabs>
        <w:ind w:leftChars="0"/>
        <w:rPr>
          <w:rFonts w:hint="eastAsia" w:cs="Times New Roman"/>
          <w:b/>
          <w:kern w:val="2"/>
          <w:sz w:val="32"/>
          <w:szCs w:val="21"/>
          <w:lang w:val="en-US" w:eastAsia="zh-CN" w:bidi="ar-SA"/>
        </w:rPr>
      </w:pPr>
    </w:p>
    <w:p>
      <w:pPr>
        <w:pStyle w:val="2"/>
        <w:numPr>
          <w:ilvl w:val="0"/>
          <w:numId w:val="0"/>
        </w:numPr>
        <w:tabs>
          <w:tab w:val="left" w:pos="2633"/>
        </w:tabs>
        <w:ind w:leftChars="0"/>
        <w:rPr>
          <w:rFonts w:hint="eastAsia" w:cs="Times New Roman"/>
          <w:b/>
          <w:kern w:val="2"/>
          <w:sz w:val="32"/>
          <w:szCs w:val="21"/>
          <w:lang w:val="en-US" w:eastAsia="zh-CN" w:bidi="ar-SA"/>
        </w:rPr>
      </w:pPr>
      <w:bookmarkStart w:id="0" w:name="_GoBack"/>
      <w:bookmarkEnd w:id="0"/>
    </w:p>
    <w:p>
      <w:pPr>
        <w:pStyle w:val="2"/>
        <w:numPr>
          <w:ilvl w:val="0"/>
          <w:numId w:val="0"/>
        </w:numPr>
        <w:tabs>
          <w:tab w:val="left" w:pos="2633"/>
        </w:tabs>
        <w:ind w:leftChars="0"/>
        <w:rPr>
          <w:rFonts w:hint="eastAsia" w:cs="Times New Roman"/>
          <w:b/>
          <w:kern w:val="2"/>
          <w:sz w:val="32"/>
          <w:szCs w:val="21"/>
          <w:lang w:val="en-US" w:eastAsia="zh-CN" w:bidi="ar-SA"/>
        </w:rPr>
      </w:pPr>
    </w:p>
    <w:p>
      <w:pPr>
        <w:jc w:val="center"/>
        <w:rPr>
          <w:b/>
          <w:sz w:val="36"/>
        </w:rPr>
      </w:pPr>
      <w:r>
        <w:rPr>
          <w:rFonts w:hint="eastAsia"/>
          <w:b/>
          <w:sz w:val="36"/>
        </w:rPr>
        <w:t>《阳极氧化铝板供应综合表》</w:t>
      </w:r>
    </w:p>
    <w:p>
      <w:pPr>
        <w:rPr>
          <w:sz w:val="24"/>
        </w:rPr>
      </w:pPr>
      <w:r>
        <w:rPr>
          <w:rFonts w:hint="eastAsia"/>
          <w:b/>
          <w:sz w:val="24"/>
        </w:rPr>
        <w:t>供应单位（盖章）</w:t>
      </w:r>
      <w:r>
        <w:rPr>
          <w:rFonts w:hint="eastAsia"/>
          <w:sz w:val="24"/>
        </w:rPr>
        <w:t>：</w:t>
      </w:r>
    </w:p>
    <w:tbl>
      <w:tblPr>
        <w:tblStyle w:val="4"/>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717"/>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702" w:type="dxa"/>
            <w:vAlign w:val="center"/>
          </w:tcPr>
          <w:p>
            <w:pPr>
              <w:jc w:val="center"/>
              <w:rPr>
                <w:sz w:val="24"/>
              </w:rPr>
            </w:pPr>
            <w:r>
              <w:rPr>
                <w:rFonts w:hint="eastAsia"/>
                <w:sz w:val="24"/>
              </w:rPr>
              <w:t>项目</w:t>
            </w:r>
          </w:p>
        </w:tc>
        <w:tc>
          <w:tcPr>
            <w:tcW w:w="5717" w:type="dxa"/>
            <w:vAlign w:val="center"/>
          </w:tcPr>
          <w:p>
            <w:pPr>
              <w:jc w:val="center"/>
              <w:rPr>
                <w:sz w:val="24"/>
              </w:rPr>
            </w:pPr>
            <w:r>
              <w:rPr>
                <w:rFonts w:hint="eastAsia"/>
                <w:sz w:val="24"/>
                <w:lang w:eastAsia="zh-CN"/>
              </w:rPr>
              <w:t>沙特</w:t>
            </w:r>
            <w:r>
              <w:rPr>
                <w:rFonts w:hint="eastAsia"/>
                <w:sz w:val="24"/>
                <w:lang w:val="en-US" w:eastAsia="zh-CN"/>
              </w:rPr>
              <w:t>1F项目</w:t>
            </w:r>
            <w:r>
              <w:rPr>
                <w:rFonts w:hint="eastAsia"/>
                <w:sz w:val="24"/>
              </w:rPr>
              <w:t>工程阳极氧化铝板采购</w:t>
            </w:r>
          </w:p>
        </w:tc>
        <w:tc>
          <w:tcPr>
            <w:tcW w:w="2363"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702" w:type="dxa"/>
            <w:vAlign w:val="center"/>
          </w:tcPr>
          <w:p>
            <w:pPr>
              <w:jc w:val="center"/>
              <w:rPr>
                <w:sz w:val="24"/>
              </w:rPr>
            </w:pPr>
            <w:r>
              <w:rPr>
                <w:rFonts w:hint="eastAsia"/>
                <w:sz w:val="24"/>
              </w:rPr>
              <w:t>价格</w:t>
            </w:r>
          </w:p>
        </w:tc>
        <w:tc>
          <w:tcPr>
            <w:tcW w:w="5717" w:type="dxa"/>
            <w:vAlign w:val="center"/>
          </w:tcPr>
          <w:p>
            <w:pPr>
              <w:jc w:val="both"/>
              <w:rPr>
                <w:sz w:val="24"/>
              </w:rPr>
            </w:pPr>
            <w:r>
              <w:rPr>
                <w:rFonts w:hint="eastAsia"/>
                <w:sz w:val="24"/>
              </w:rPr>
              <w:t>1、材料报价请填写《阳极氧化铝板报价明细表》。</w:t>
            </w:r>
          </w:p>
        </w:tc>
        <w:tc>
          <w:tcPr>
            <w:tcW w:w="2363" w:type="dxa"/>
            <w:vAlign w:val="center"/>
          </w:tcPr>
          <w:p>
            <w:pPr>
              <w:jc w:val="center"/>
              <w:rPr>
                <w:sz w:val="24"/>
              </w:rPr>
            </w:pPr>
            <w:r>
              <w:rPr>
                <w:rFonts w:hint="eastAsia"/>
                <w:sz w:val="24"/>
              </w:rPr>
              <w:t>所有报价含13%增值税专用发票、加工费、包装费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1702" w:type="dxa"/>
            <w:vAlign w:val="center"/>
          </w:tcPr>
          <w:p>
            <w:pPr>
              <w:jc w:val="center"/>
              <w:rPr>
                <w:sz w:val="24"/>
              </w:rPr>
            </w:pPr>
            <w:r>
              <w:rPr>
                <w:rFonts w:hint="eastAsia"/>
                <w:sz w:val="24"/>
              </w:rPr>
              <w:t>付款方式</w:t>
            </w:r>
          </w:p>
        </w:tc>
        <w:tc>
          <w:tcPr>
            <w:tcW w:w="8080" w:type="dxa"/>
            <w:gridSpan w:val="2"/>
            <w:vAlign w:val="center"/>
          </w:tcPr>
          <w:p>
            <w:pPr>
              <w:numPr>
                <w:ilvl w:val="0"/>
                <w:numId w:val="2"/>
              </w:numPr>
              <w:tabs>
                <w:tab w:val="left" w:pos="1215"/>
                <w:tab w:val="left" w:pos="1680"/>
                <w:tab w:val="center" w:pos="2721"/>
                <w:tab w:val="left" w:pos="2940"/>
                <w:tab w:val="left" w:pos="3360"/>
                <w:tab w:val="left" w:pos="3780"/>
                <w:tab w:val="left" w:pos="4200"/>
                <w:tab w:val="right" w:pos="5443"/>
              </w:tabs>
              <w:rPr>
                <w:rFonts w:ascii="宋体" w:hAnsi="宋体" w:cs="宋体"/>
                <w:sz w:val="24"/>
                <w:szCs w:val="24"/>
                <w:highlight w:val="green"/>
              </w:rPr>
            </w:pPr>
            <w:r>
              <w:rPr>
                <w:rFonts w:hint="eastAsia" w:ascii="宋体" w:hAnsi="宋体" w:cs="宋体"/>
                <w:sz w:val="24"/>
                <w:szCs w:val="24"/>
                <w:highlight w:val="green"/>
              </w:rPr>
              <w:t>无预付款；</w:t>
            </w:r>
          </w:p>
          <w:p>
            <w:pPr>
              <w:numPr>
                <w:ilvl w:val="0"/>
                <w:numId w:val="2"/>
              </w:numPr>
              <w:tabs>
                <w:tab w:val="left" w:pos="1215"/>
                <w:tab w:val="left" w:pos="1680"/>
                <w:tab w:val="center" w:pos="2721"/>
                <w:tab w:val="left" w:pos="2940"/>
                <w:tab w:val="left" w:pos="3360"/>
                <w:tab w:val="left" w:pos="3780"/>
                <w:tab w:val="left" w:pos="4200"/>
                <w:tab w:val="right" w:pos="5443"/>
              </w:tabs>
              <w:rPr>
                <w:sz w:val="24"/>
                <w:highlight w:val="green"/>
              </w:rPr>
            </w:pPr>
            <w:r>
              <w:rPr>
                <w:rFonts w:hint="eastAsia" w:ascii="宋体" w:hAnsi="宋体" w:cs="宋体"/>
                <w:sz w:val="24"/>
                <w:szCs w:val="24"/>
                <w:highlight w:val="green"/>
                <w:lang w:val="zh-CN"/>
              </w:rPr>
              <w:t>货到</w:t>
            </w:r>
            <w:r>
              <w:rPr>
                <w:rFonts w:hint="eastAsia" w:ascii="宋体" w:hAnsi="宋体" w:cs="宋体"/>
                <w:sz w:val="24"/>
                <w:szCs w:val="24"/>
                <w:highlight w:val="green"/>
                <w:lang w:val="en-US" w:eastAsia="zh-CN"/>
              </w:rPr>
              <w:t>7个工作日付款</w:t>
            </w:r>
            <w:r>
              <w:rPr>
                <w:rFonts w:hint="eastAsia" w:ascii="宋体" w:hAnsi="宋体" w:cs="宋体"/>
                <w:sz w:val="24"/>
                <w:szCs w:val="24"/>
                <w:highlight w:val="green"/>
                <w:lang w:val="zh-CN"/>
              </w:rPr>
              <w:t>，每批支付该批货款的</w:t>
            </w:r>
            <w:r>
              <w:rPr>
                <w:rFonts w:hint="eastAsia" w:ascii="宋体" w:hAnsi="宋体" w:cs="宋体"/>
                <w:sz w:val="24"/>
                <w:szCs w:val="24"/>
                <w:highlight w:val="green"/>
                <w:lang w:val="en-US" w:eastAsia="zh-CN"/>
              </w:rPr>
              <w:t>90</w:t>
            </w:r>
            <w:r>
              <w:rPr>
                <w:rFonts w:hint="eastAsia" w:ascii="宋体" w:hAnsi="宋体" w:cs="宋体"/>
                <w:sz w:val="24"/>
                <w:szCs w:val="24"/>
                <w:highlight w:val="green"/>
                <w:lang w:val="zh-CN"/>
              </w:rPr>
              <w:t>%</w:t>
            </w:r>
            <w:r>
              <w:rPr>
                <w:rFonts w:hint="eastAsia" w:ascii="宋体" w:hAnsi="宋体" w:cs="宋体"/>
                <w:sz w:val="24"/>
                <w:szCs w:val="24"/>
                <w:highlight w:val="green"/>
              </w:rPr>
              <w:t>；</w:t>
            </w:r>
          </w:p>
          <w:p>
            <w:pPr>
              <w:numPr>
                <w:ilvl w:val="0"/>
                <w:numId w:val="2"/>
              </w:numPr>
              <w:tabs>
                <w:tab w:val="left" w:pos="1215"/>
                <w:tab w:val="left" w:pos="1680"/>
                <w:tab w:val="center" w:pos="2721"/>
                <w:tab w:val="left" w:pos="2940"/>
                <w:tab w:val="left" w:pos="3360"/>
                <w:tab w:val="left" w:pos="3780"/>
                <w:tab w:val="left" w:pos="4200"/>
                <w:tab w:val="right" w:pos="5443"/>
              </w:tabs>
              <w:rPr>
                <w:sz w:val="24"/>
              </w:rPr>
            </w:pPr>
            <w:r>
              <w:rPr>
                <w:rFonts w:hint="eastAsia" w:ascii="宋体" w:hAnsi="宋体" w:cs="宋体"/>
                <w:sz w:val="24"/>
                <w:szCs w:val="24"/>
                <w:highlight w:val="green"/>
              </w:rPr>
              <w:t>余</w:t>
            </w:r>
            <w:r>
              <w:rPr>
                <w:rFonts w:hint="eastAsia" w:ascii="宋体" w:hAnsi="宋体" w:cs="宋体"/>
                <w:sz w:val="24"/>
                <w:szCs w:val="24"/>
                <w:highlight w:val="green"/>
                <w:lang w:val="en-US" w:eastAsia="zh-CN"/>
              </w:rPr>
              <w:t>10</w:t>
            </w:r>
            <w:r>
              <w:rPr>
                <w:rFonts w:hint="eastAsia" w:ascii="宋体" w:hAnsi="宋体" w:cs="宋体"/>
                <w:sz w:val="24"/>
                <w:szCs w:val="24"/>
                <w:highlight w:val="green"/>
              </w:rPr>
              <w:t>%作为质量保证金，质保期1年，期满后</w:t>
            </w:r>
            <w:r>
              <w:rPr>
                <w:rFonts w:hint="eastAsia" w:ascii="宋体" w:hAnsi="宋体" w:cs="宋体"/>
                <w:sz w:val="24"/>
                <w:szCs w:val="24"/>
                <w:highlight w:val="green"/>
                <w:lang w:val="en-US" w:eastAsia="zh-CN"/>
              </w:rPr>
              <w:t>9</w:t>
            </w:r>
            <w:r>
              <w:rPr>
                <w:rFonts w:hint="eastAsia" w:ascii="宋体" w:hAnsi="宋体" w:cs="宋体"/>
                <w:sz w:val="24"/>
                <w:szCs w:val="24"/>
                <w:highlight w:val="green"/>
              </w:rPr>
              <w:t>0天内无息支付。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1702" w:type="dxa"/>
            <w:tcBorders>
              <w:bottom w:val="single" w:color="auto" w:sz="4" w:space="0"/>
            </w:tcBorders>
            <w:vAlign w:val="center"/>
          </w:tcPr>
          <w:p>
            <w:pPr>
              <w:jc w:val="center"/>
              <w:rPr>
                <w:sz w:val="24"/>
              </w:rPr>
            </w:pPr>
            <w:r>
              <w:rPr>
                <w:rFonts w:hint="eastAsia"/>
                <w:sz w:val="24"/>
              </w:rPr>
              <w:t>货款支付</w:t>
            </w:r>
          </w:p>
        </w:tc>
        <w:tc>
          <w:tcPr>
            <w:tcW w:w="8080" w:type="dxa"/>
            <w:gridSpan w:val="2"/>
            <w:tcBorders>
              <w:bottom w:val="single" w:color="auto" w:sz="4" w:space="0"/>
            </w:tcBorders>
            <w:vAlign w:val="center"/>
          </w:tcPr>
          <w:p>
            <w:pPr>
              <w:numPr>
                <w:ilvl w:val="0"/>
                <w:numId w:val="3"/>
              </w:numPr>
              <w:rPr>
                <w:sz w:val="24"/>
              </w:rPr>
            </w:pPr>
            <w:r>
              <w:rPr>
                <w:rFonts w:hint="eastAsia"/>
                <w:sz w:val="24"/>
                <w:u w:val="single"/>
              </w:rPr>
              <w:t>以6个月的银行承兑汇票方式支付货款。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trPr>
        <w:tc>
          <w:tcPr>
            <w:tcW w:w="1702" w:type="dxa"/>
            <w:vMerge w:val="restart"/>
            <w:vAlign w:val="center"/>
          </w:tcPr>
          <w:p>
            <w:pPr>
              <w:jc w:val="center"/>
              <w:rPr>
                <w:sz w:val="24"/>
              </w:rPr>
            </w:pPr>
            <w:r>
              <w:rPr>
                <w:rFonts w:hint="eastAsia"/>
                <w:sz w:val="24"/>
              </w:rPr>
              <w:t>质量保证</w:t>
            </w:r>
          </w:p>
        </w:tc>
        <w:tc>
          <w:tcPr>
            <w:tcW w:w="8080" w:type="dxa"/>
            <w:gridSpan w:val="2"/>
            <w:tcBorders>
              <w:bottom w:val="single" w:color="auto" w:sz="4" w:space="0"/>
            </w:tcBorders>
            <w:vAlign w:val="center"/>
          </w:tcPr>
          <w:p>
            <w:pPr>
              <w:jc w:val="both"/>
              <w:rPr>
                <w:sz w:val="24"/>
              </w:rPr>
            </w:pPr>
            <w:r>
              <w:rPr>
                <w:rFonts w:hint="eastAsia"/>
                <w:sz w:val="24"/>
                <w:szCs w:val="24"/>
              </w:rPr>
              <w:t>1、是否提供材料质量证明书、材质质量证明书、产品合格证、产品质量二十年保证书、指定品牌供货证明及二十年质保书。有□无□；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1702" w:type="dxa"/>
            <w:vMerge w:val="continue"/>
          </w:tcPr>
          <w:p>
            <w:pPr>
              <w:rPr>
                <w:sz w:val="24"/>
              </w:rPr>
            </w:pPr>
          </w:p>
        </w:tc>
        <w:tc>
          <w:tcPr>
            <w:tcW w:w="8080" w:type="dxa"/>
            <w:gridSpan w:val="2"/>
            <w:tcBorders>
              <w:bottom w:val="single" w:color="auto" w:sz="4" w:space="0"/>
            </w:tcBorders>
            <w:vAlign w:val="center"/>
          </w:tcPr>
          <w:p>
            <w:pPr>
              <w:jc w:val="both"/>
              <w:rPr>
                <w:sz w:val="24"/>
              </w:rPr>
            </w:pPr>
            <w:r>
              <w:rPr>
                <w:rFonts w:hint="eastAsia"/>
                <w:sz w:val="24"/>
              </w:rPr>
              <w:t>2、不提供任何质量保证承诺□；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exact"/>
        </w:trPr>
        <w:tc>
          <w:tcPr>
            <w:tcW w:w="1702" w:type="dxa"/>
            <w:vMerge w:val="continue"/>
            <w:tcBorders>
              <w:bottom w:val="single" w:color="auto" w:sz="4" w:space="0"/>
            </w:tcBorders>
          </w:tcPr>
          <w:p>
            <w:pPr>
              <w:rPr>
                <w:sz w:val="24"/>
              </w:rPr>
            </w:pPr>
          </w:p>
        </w:tc>
        <w:tc>
          <w:tcPr>
            <w:tcW w:w="8080" w:type="dxa"/>
            <w:gridSpan w:val="2"/>
            <w:tcBorders>
              <w:bottom w:val="single" w:color="auto" w:sz="4" w:space="0"/>
            </w:tcBorders>
            <w:vAlign w:val="center"/>
          </w:tcPr>
          <w:p>
            <w:pPr>
              <w:jc w:val="both"/>
              <w:rPr>
                <w:sz w:val="24"/>
              </w:rPr>
            </w:pPr>
            <w:r>
              <w:rPr>
                <w:rFonts w:hint="eastAsia"/>
                <w:sz w:val="24"/>
              </w:rPr>
              <w:t>3、其它：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02" w:type="dxa"/>
            <w:vMerge w:val="restart"/>
            <w:tcBorders>
              <w:bottom w:val="single" w:color="auto" w:sz="4" w:space="0"/>
            </w:tcBorders>
            <w:vAlign w:val="center"/>
          </w:tcPr>
          <w:p>
            <w:pPr>
              <w:jc w:val="center"/>
              <w:rPr>
                <w:sz w:val="24"/>
              </w:rPr>
            </w:pPr>
            <w:r>
              <w:rPr>
                <w:rFonts w:hint="eastAsia"/>
                <w:sz w:val="24"/>
              </w:rPr>
              <w:t>服务</w:t>
            </w:r>
          </w:p>
        </w:tc>
        <w:tc>
          <w:tcPr>
            <w:tcW w:w="8080" w:type="dxa"/>
            <w:gridSpan w:val="2"/>
            <w:tcBorders>
              <w:bottom w:val="single" w:color="auto" w:sz="4" w:space="0"/>
            </w:tcBorders>
            <w:vAlign w:val="center"/>
          </w:tcPr>
          <w:p>
            <w:pPr>
              <w:jc w:val="both"/>
              <w:rPr>
                <w:sz w:val="24"/>
              </w:rPr>
            </w:pPr>
            <w:r>
              <w:rPr>
                <w:rFonts w:hint="eastAsia"/>
                <w:sz w:val="24"/>
              </w:rPr>
              <w:t>1、质量投诉的反应时间</w:t>
            </w:r>
            <w:r>
              <w:rPr>
                <w:rFonts w:hint="eastAsia"/>
                <w:sz w:val="24"/>
                <w:lang w:val="en-US" w:eastAsia="zh-CN"/>
              </w:rPr>
              <w:t xml:space="preserve">   </w:t>
            </w:r>
            <w:r>
              <w:rPr>
                <w:rFonts w:hint="eastAsia"/>
                <w:sz w:val="24"/>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trPr>
        <w:tc>
          <w:tcPr>
            <w:tcW w:w="1702" w:type="dxa"/>
            <w:vMerge w:val="continue"/>
          </w:tcPr>
          <w:p>
            <w:pPr>
              <w:rPr>
                <w:sz w:val="24"/>
              </w:rPr>
            </w:pPr>
          </w:p>
        </w:tc>
        <w:tc>
          <w:tcPr>
            <w:tcW w:w="8080" w:type="dxa"/>
            <w:gridSpan w:val="2"/>
            <w:vAlign w:val="center"/>
          </w:tcPr>
          <w:p>
            <w:pPr>
              <w:jc w:val="both"/>
              <w:rPr>
                <w:sz w:val="24"/>
              </w:rPr>
            </w:pPr>
            <w:r>
              <w:rPr>
                <w:rFonts w:hint="eastAsia"/>
                <w:sz w:val="24"/>
              </w:rPr>
              <w:t>2、其它：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exact"/>
        </w:trPr>
        <w:tc>
          <w:tcPr>
            <w:tcW w:w="1702" w:type="dxa"/>
            <w:vAlign w:val="center"/>
          </w:tcPr>
          <w:p>
            <w:pPr>
              <w:jc w:val="center"/>
              <w:rPr>
                <w:sz w:val="24"/>
              </w:rPr>
            </w:pPr>
            <w:r>
              <w:rPr>
                <w:rFonts w:hint="eastAsia"/>
                <w:sz w:val="24"/>
              </w:rPr>
              <w:t>供货时间</w:t>
            </w:r>
          </w:p>
        </w:tc>
        <w:tc>
          <w:tcPr>
            <w:tcW w:w="8080" w:type="dxa"/>
            <w:gridSpan w:val="2"/>
            <w:tcBorders>
              <w:bottom w:val="single" w:color="auto" w:sz="4" w:space="0"/>
            </w:tcBorders>
            <w:vAlign w:val="center"/>
          </w:tcPr>
          <w:p>
            <w:pPr>
              <w:jc w:val="both"/>
              <w:rPr>
                <w:sz w:val="24"/>
                <w:u w:val="single"/>
              </w:rPr>
            </w:pPr>
            <w:r>
              <w:rPr>
                <w:rFonts w:hint="eastAsia"/>
                <w:sz w:val="24"/>
              </w:rPr>
              <w:t>合同签订后，订购</w:t>
            </w:r>
            <w:r>
              <w:rPr>
                <w:rFonts w:hint="eastAsia"/>
                <w:sz w:val="24"/>
                <w:lang w:val="en-US" w:eastAsia="zh-CN"/>
              </w:rPr>
              <w:t>4</w:t>
            </w:r>
            <w:r>
              <w:rPr>
                <w:rFonts w:hint="eastAsia"/>
                <w:sz w:val="24"/>
              </w:rPr>
              <w:t>000m</w:t>
            </w:r>
            <w:r>
              <w:rPr>
                <w:rFonts w:hint="eastAsia"/>
                <w:sz w:val="24"/>
                <w:vertAlign w:val="superscript"/>
              </w:rPr>
              <w:t>2</w:t>
            </w:r>
            <w:r>
              <w:rPr>
                <w:rFonts w:hint="eastAsia"/>
                <w:sz w:val="24"/>
              </w:rPr>
              <w:t>以内产品可保证在</w:t>
            </w:r>
            <w:r>
              <w:rPr>
                <w:rFonts w:hint="eastAsia"/>
                <w:sz w:val="24"/>
                <w:lang w:val="en-US" w:eastAsia="zh-CN"/>
              </w:rPr>
              <w:t xml:space="preserve">    </w:t>
            </w:r>
            <w:r>
              <w:rPr>
                <w:rFonts w:hint="eastAsia"/>
                <w:sz w:val="24"/>
              </w:rPr>
              <w:t>日内交货至工地。其余交货期控制在收到下单后日内可交货。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exact"/>
        </w:trPr>
        <w:tc>
          <w:tcPr>
            <w:tcW w:w="1702" w:type="dxa"/>
            <w:vMerge w:val="restart"/>
            <w:tcBorders>
              <w:bottom w:val="single" w:color="auto" w:sz="4" w:space="0"/>
            </w:tcBorders>
            <w:vAlign w:val="center"/>
          </w:tcPr>
          <w:p>
            <w:pPr>
              <w:jc w:val="center"/>
              <w:rPr>
                <w:sz w:val="24"/>
              </w:rPr>
            </w:pPr>
          </w:p>
          <w:p>
            <w:pPr>
              <w:jc w:val="center"/>
              <w:rPr>
                <w:sz w:val="24"/>
              </w:rPr>
            </w:pPr>
            <w:r>
              <w:rPr>
                <w:rFonts w:hint="eastAsia"/>
                <w:sz w:val="24"/>
              </w:rPr>
              <w:t>单价浮动</w:t>
            </w:r>
          </w:p>
          <w:p>
            <w:pPr>
              <w:jc w:val="center"/>
              <w:rPr>
                <w:sz w:val="24"/>
              </w:rPr>
            </w:pPr>
            <w:r>
              <w:rPr>
                <w:rFonts w:hint="eastAsia"/>
                <w:sz w:val="24"/>
              </w:rPr>
              <w:t>规则</w:t>
            </w:r>
          </w:p>
        </w:tc>
        <w:tc>
          <w:tcPr>
            <w:tcW w:w="8080" w:type="dxa"/>
            <w:gridSpan w:val="2"/>
            <w:tcBorders>
              <w:bottom w:val="single" w:color="auto" w:sz="4" w:space="0"/>
            </w:tcBorders>
            <w:vAlign w:val="center"/>
          </w:tcPr>
          <w:p>
            <w:pPr>
              <w:jc w:val="both"/>
              <w:rPr>
                <w:sz w:val="24"/>
              </w:rPr>
            </w:pPr>
            <w:r>
              <w:rPr>
                <w:rFonts w:hint="eastAsia"/>
                <w:sz w:val="24"/>
              </w:rPr>
              <w:t>自合同签订后，单价不再改变。同意□不同意□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1702" w:type="dxa"/>
            <w:vMerge w:val="continue"/>
            <w:vAlign w:val="center"/>
          </w:tcPr>
          <w:p>
            <w:pPr>
              <w:jc w:val="center"/>
              <w:rPr>
                <w:sz w:val="24"/>
              </w:rPr>
            </w:pPr>
          </w:p>
        </w:tc>
        <w:tc>
          <w:tcPr>
            <w:tcW w:w="8080" w:type="dxa"/>
            <w:gridSpan w:val="2"/>
          </w:tcPr>
          <w:p>
            <w:pPr>
              <w:rPr>
                <w:sz w:val="24"/>
              </w:rPr>
            </w:pPr>
            <w:r>
              <w:rPr>
                <w:rFonts w:hint="eastAsia"/>
                <w:sz w:val="24"/>
              </w:rPr>
              <w:t>投标方的建议：</w:t>
            </w:r>
          </w:p>
        </w:tc>
      </w:tr>
    </w:tbl>
    <w:p>
      <w:pPr>
        <w:jc w:val="center"/>
        <w:rPr>
          <w:rFonts w:ascii="宋体" w:hAnsi="宋体"/>
        </w:rPr>
      </w:pPr>
      <w:r>
        <w:rPr>
          <w:rFonts w:hint="eastAsia"/>
        </w:rPr>
        <w:t>填表说明：</w:t>
      </w:r>
      <w:r>
        <w:rPr>
          <w:rFonts w:hint="eastAsia"/>
          <w:sz w:val="24"/>
        </w:rPr>
        <w:t>□</w:t>
      </w:r>
      <w:r>
        <w:rPr>
          <w:rFonts w:hint="eastAsia"/>
        </w:rPr>
        <w:t>内打“</w:t>
      </w:r>
      <w:r>
        <w:rPr>
          <w:rFonts w:ascii="宋体" w:hAnsi="宋体"/>
        </w:rPr>
        <w:t>√</w:t>
      </w:r>
      <w:r>
        <w:rPr>
          <w:rFonts w:hint="eastAsia" w:ascii="宋体" w:hAnsi="宋体"/>
        </w:rPr>
        <w:t>”表示选择该项，不选择打“X”；“”填写数据，不选择则不填。</w:t>
      </w:r>
    </w:p>
    <w:p>
      <w:pPr>
        <w:pStyle w:val="2"/>
        <w:numPr>
          <w:ilvl w:val="0"/>
          <w:numId w:val="0"/>
        </w:numPr>
        <w:ind w:leftChars="0"/>
        <w:rPr>
          <w:rFonts w:hint="eastAsia" w:cs="Times New Roman"/>
          <w:b/>
          <w:kern w:val="2"/>
          <w:sz w:val="32"/>
          <w:szCs w:val="21"/>
          <w:lang w:val="en-US" w:eastAsia="zh-CN" w:bidi="ar-SA"/>
        </w:rPr>
      </w:pPr>
    </w:p>
    <w:p>
      <w:pPr>
        <w:pStyle w:val="2"/>
        <w:spacing w:line="360" w:lineRule="auto"/>
        <w:ind w:firstLine="480" w:firstLineChars="200"/>
        <w:rPr>
          <w:rFonts w:hint="eastAsia"/>
          <w:sz w:val="24"/>
        </w:rPr>
      </w:pPr>
    </w:p>
    <w:p>
      <w:pPr>
        <w:pStyle w:val="2"/>
        <w:numPr>
          <w:ilvl w:val="0"/>
          <w:numId w:val="0"/>
        </w:numPr>
        <w:spacing w:line="360" w:lineRule="auto"/>
        <w:ind w:leftChars="0" w:firstLine="480" w:firstLineChars="200"/>
        <w:rPr>
          <w:rFonts w:hint="eastAsia"/>
          <w:sz w:val="24"/>
          <w:lang w:val="en-US" w:eastAsia="zh-CN"/>
        </w:rPr>
      </w:pPr>
    </w:p>
    <w:p>
      <w:pPr>
        <w:pStyle w:val="2"/>
        <w:numPr>
          <w:ilvl w:val="0"/>
          <w:numId w:val="0"/>
        </w:numPr>
        <w:spacing w:line="360" w:lineRule="auto"/>
        <w:ind w:leftChars="0" w:firstLine="480" w:firstLineChars="200"/>
        <w:jc w:val="both"/>
        <w:rPr>
          <w:rFonts w:hint="eastAsia"/>
          <w:sz w:val="24"/>
          <w:lang w:eastAsia="zh-CN"/>
        </w:rPr>
      </w:pPr>
    </w:p>
    <w:p>
      <w:pPr>
        <w:jc w:val="center"/>
        <w:rPr>
          <w:rFonts w:hint="eastAsia" w:ascii="新宋体" w:hAnsi="新宋体" w:eastAsia="新宋体"/>
          <w:b/>
          <w:sz w:val="30"/>
        </w:rPr>
      </w:pPr>
      <w:r>
        <w:rPr>
          <w:rFonts w:hint="eastAsia" w:ascii="新宋体" w:hAnsi="新宋体" w:eastAsia="新宋体"/>
          <w:b/>
          <w:sz w:val="30"/>
        </w:rPr>
        <w:t>《阳极氧化铝板报价明细表》</w:t>
      </w:r>
    </w:p>
    <w:tbl>
      <w:tblPr>
        <w:tblStyle w:val="4"/>
        <w:tblW w:w="10557" w:type="dxa"/>
        <w:tblInd w:w="-438" w:type="dxa"/>
        <w:shd w:val="clear" w:color="auto" w:fill="auto"/>
        <w:tblLayout w:type="fixed"/>
        <w:tblCellMar>
          <w:top w:w="0" w:type="dxa"/>
          <w:left w:w="0" w:type="dxa"/>
          <w:bottom w:w="0" w:type="dxa"/>
          <w:right w:w="0" w:type="dxa"/>
        </w:tblCellMar>
      </w:tblPr>
      <w:tblGrid>
        <w:gridCol w:w="430"/>
        <w:gridCol w:w="810"/>
        <w:gridCol w:w="765"/>
        <w:gridCol w:w="2150"/>
        <w:gridCol w:w="1920"/>
        <w:gridCol w:w="1035"/>
        <w:gridCol w:w="792"/>
        <w:gridCol w:w="960"/>
        <w:gridCol w:w="750"/>
        <w:gridCol w:w="945"/>
      </w:tblGrid>
      <w:tr>
        <w:tblPrEx>
          <w:shd w:val="clear" w:color="auto" w:fill="auto"/>
          <w:tblCellMar>
            <w:top w:w="0" w:type="dxa"/>
            <w:left w:w="0" w:type="dxa"/>
            <w:bottom w:w="0" w:type="dxa"/>
            <w:right w:w="0" w:type="dxa"/>
          </w:tblCellMar>
        </w:tblPrEx>
        <w:trPr>
          <w:trHeight w:val="270" w:hRule="atLeast"/>
        </w:trPr>
        <w:tc>
          <w:tcPr>
            <w:tcW w:w="9612"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 货描:阳极氧化板</w:t>
            </w:r>
          </w:p>
        </w:tc>
        <w:tc>
          <w:tcPr>
            <w:tcW w:w="9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3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c>
          <w:tcPr>
            <w:tcW w:w="81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c>
          <w:tcPr>
            <w:tcW w:w="76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c>
          <w:tcPr>
            <w:tcW w:w="215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c>
          <w:tcPr>
            <w:tcW w:w="192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c>
          <w:tcPr>
            <w:tcW w:w="792"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c>
          <w:tcPr>
            <w:tcW w:w="96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c>
          <w:tcPr>
            <w:tcW w:w="75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c>
          <w:tcPr>
            <w:tcW w:w="9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9612" w:type="dxa"/>
            <w:gridSpan w:val="9"/>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仿宋" w:hAnsi="仿宋" w:eastAsia="仿宋" w:cs="仿宋"/>
                <w:i w:val="0"/>
                <w:color w:val="000000"/>
                <w:sz w:val="22"/>
                <w:szCs w:val="22"/>
                <w:u w:val="none"/>
              </w:rPr>
            </w:pPr>
          </w:p>
        </w:tc>
        <w:tc>
          <w:tcPr>
            <w:tcW w:w="9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2"/>
                <w:szCs w:val="22"/>
                <w:u w:val="none"/>
              </w:rPr>
            </w:pPr>
          </w:p>
        </w:tc>
      </w:tr>
      <w:tr>
        <w:tblPrEx>
          <w:shd w:val="clear" w:color="auto" w:fill="auto"/>
          <w:tblCellMar>
            <w:top w:w="0" w:type="dxa"/>
            <w:left w:w="0" w:type="dxa"/>
            <w:bottom w:w="0" w:type="dxa"/>
            <w:right w:w="0" w:type="dxa"/>
          </w:tblCellMar>
        </w:tblPrEx>
        <w:trPr>
          <w:trHeight w:val="4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厚度(mm)</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材质</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技术要求</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规格(mm)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色号</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数量（m2)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单价（元/m2)</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总金额（元）</w:t>
            </w:r>
          </w:p>
        </w:tc>
      </w:tr>
      <w:tr>
        <w:tblPrEx>
          <w:shd w:val="clear" w:color="auto" w:fill="auto"/>
          <w:tblCellMar>
            <w:top w:w="0" w:type="dxa"/>
            <w:left w:w="0" w:type="dxa"/>
            <w:bottom w:w="0" w:type="dxa"/>
            <w:right w:w="0" w:type="dxa"/>
          </w:tblCellMar>
        </w:tblPrEx>
        <w:trPr>
          <w:trHeight w:val="27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1200*L,片状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G20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11050KG</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2038.75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1500*2360MM，片状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G30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24pcs</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129.60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1500*2360MM，片状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G40，镜面</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26pcs</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92.04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1500*L,片状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G20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5400KG</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1660.52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1500*1620MM，片状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G30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56pcs</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136.08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1500*1620MM，片状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G40，镜面</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99pcs</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240.57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1500*1620MM，片状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G10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72pcs</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174.96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40" w:hRule="atLeast"/>
        </w:trPr>
        <w:tc>
          <w:tcPr>
            <w:tcW w:w="10557"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 xml:space="preserve"> </w:t>
            </w:r>
          </w:p>
        </w:tc>
      </w:tr>
      <w:tr>
        <w:tblPrEx>
          <w:shd w:val="clear" w:color="auto" w:fill="auto"/>
          <w:tblCellMar>
            <w:top w:w="0" w:type="dxa"/>
            <w:left w:w="0" w:type="dxa"/>
            <w:bottom w:w="0" w:type="dxa"/>
            <w:right w:w="0" w:type="dxa"/>
          </w:tblCellMar>
        </w:tblPrEx>
        <w:trPr>
          <w:trHeight w:val="840" w:hRule="atLeast"/>
        </w:trPr>
        <w:tc>
          <w:tcPr>
            <w:tcW w:w="10557"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 平均膜厚20微米,最低膜厚18um，符合标准涂膜附着力 "ASTM D3359-22-A"和铜加速乙酸盐雾"GB/T 10125-2021"氧化膜封孔质量测试“GB/T 8753.1-2017”</w:t>
            </w:r>
          </w:p>
        </w:tc>
      </w:tr>
      <w:tr>
        <w:tblPrEx>
          <w:shd w:val="clear" w:color="auto" w:fill="auto"/>
          <w:tblCellMar>
            <w:top w:w="0" w:type="dxa"/>
            <w:left w:w="0" w:type="dxa"/>
            <w:bottom w:w="0" w:type="dxa"/>
            <w:right w:w="0" w:type="dxa"/>
          </w:tblCellMar>
        </w:tblPrEx>
        <w:trPr>
          <w:trHeight w:val="840" w:hRule="atLeast"/>
        </w:trPr>
        <w:tc>
          <w:tcPr>
            <w:tcW w:w="10557"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 板子不进行任何钣金加工, 铝板原材料符合ASTM B209标准，实际厚度不低于1.89mm&amp;1.12mm。</w:t>
            </w:r>
          </w:p>
        </w:tc>
      </w:tr>
      <w:tr>
        <w:tblPrEx>
          <w:shd w:val="clear" w:color="auto" w:fill="auto"/>
          <w:tblCellMar>
            <w:top w:w="0" w:type="dxa"/>
            <w:left w:w="0" w:type="dxa"/>
            <w:bottom w:w="0" w:type="dxa"/>
            <w:right w:w="0" w:type="dxa"/>
          </w:tblCellMar>
        </w:tblPrEx>
        <w:trPr>
          <w:trHeight w:val="840" w:hRule="atLeast"/>
        </w:trPr>
        <w:tc>
          <w:tcPr>
            <w:tcW w:w="10557"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 木箱包装，确保客户收到货物完好无损</w:t>
            </w:r>
          </w:p>
        </w:tc>
      </w:tr>
      <w:tr>
        <w:tblPrEx>
          <w:tblCellMar>
            <w:top w:w="0" w:type="dxa"/>
            <w:left w:w="0" w:type="dxa"/>
            <w:bottom w:w="0" w:type="dxa"/>
            <w:right w:w="0" w:type="dxa"/>
          </w:tblCellMar>
        </w:tblPrEx>
        <w:trPr>
          <w:trHeight w:val="800" w:hRule="atLeast"/>
        </w:trPr>
        <w:tc>
          <w:tcPr>
            <w:tcW w:w="10557"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 交期：40天内交货。</w:t>
            </w:r>
            <w:r>
              <w:rPr>
                <w:rFonts w:hint="eastAsia" w:ascii="仿宋" w:hAnsi="仿宋" w:eastAsia="仿宋" w:cs="仿宋"/>
                <w:i w:val="0"/>
                <w:color w:val="FF0000"/>
                <w:kern w:val="0"/>
                <w:sz w:val="32"/>
                <w:szCs w:val="32"/>
                <w:u w:val="none"/>
                <w:lang w:val="en-US" w:eastAsia="zh-CN" w:bidi="ar"/>
              </w:rPr>
              <w:t>出货之前，SGS会进行相关技术检测：产品尺寸、材质、膜厚、色差等.</w:t>
            </w:r>
          </w:p>
        </w:tc>
      </w:tr>
    </w:tbl>
    <w:p>
      <w:pPr>
        <w:spacing w:line="360" w:lineRule="auto"/>
        <w:ind w:firstLine="5280" w:firstLineChars="2200"/>
        <w:jc w:val="both"/>
        <w:textAlignment w:val="baseline"/>
        <w:rPr>
          <w:rFonts w:hint="eastAsia"/>
          <w:sz w:val="24"/>
          <w:szCs w:val="24"/>
        </w:rPr>
      </w:pPr>
    </w:p>
    <w:p>
      <w:pPr>
        <w:spacing w:line="360" w:lineRule="auto"/>
        <w:ind w:firstLine="5280" w:firstLineChars="2200"/>
        <w:jc w:val="both"/>
        <w:textAlignment w:val="baseline"/>
        <w:rPr>
          <w:rFonts w:hint="eastAsia"/>
          <w:sz w:val="24"/>
          <w:szCs w:val="24"/>
        </w:rPr>
      </w:pPr>
    </w:p>
    <w:p>
      <w:pPr>
        <w:spacing w:line="360" w:lineRule="auto"/>
        <w:ind w:firstLine="5280" w:firstLineChars="2200"/>
        <w:jc w:val="both"/>
        <w:textAlignment w:val="baseline"/>
        <w:rPr>
          <w:rFonts w:hint="eastAsia"/>
          <w:sz w:val="24"/>
          <w:szCs w:val="24"/>
        </w:rPr>
      </w:pPr>
    </w:p>
    <w:p>
      <w:pPr>
        <w:spacing w:line="360" w:lineRule="auto"/>
        <w:ind w:firstLine="5280" w:firstLineChars="2200"/>
        <w:jc w:val="both"/>
        <w:textAlignment w:val="baseline"/>
        <w:rPr>
          <w:sz w:val="24"/>
          <w:szCs w:val="24"/>
        </w:rPr>
      </w:pPr>
      <w:r>
        <w:rPr>
          <w:rFonts w:hint="eastAsia"/>
          <w:sz w:val="24"/>
          <w:szCs w:val="24"/>
        </w:rPr>
        <w:t>报价单位：（盖章）</w:t>
      </w:r>
    </w:p>
    <w:p>
      <w:pPr>
        <w:spacing w:line="360" w:lineRule="auto"/>
        <w:ind w:firstLine="5342" w:firstLineChars="2226"/>
        <w:jc w:val="both"/>
        <w:textAlignment w:val="baseline"/>
        <w:rPr>
          <w:sz w:val="24"/>
          <w:szCs w:val="24"/>
        </w:rPr>
      </w:pPr>
      <w:r>
        <w:rPr>
          <w:rFonts w:hint="eastAsia"/>
          <w:sz w:val="24"/>
          <w:szCs w:val="24"/>
        </w:rPr>
        <w:t>报价人：（签名）</w:t>
      </w:r>
    </w:p>
    <w:p>
      <w:pPr>
        <w:spacing w:line="360" w:lineRule="auto"/>
        <w:ind w:right="567" w:firstLine="5342" w:firstLineChars="2226"/>
        <w:jc w:val="both"/>
        <w:textAlignment w:val="baseline"/>
        <w:rPr>
          <w:sz w:val="24"/>
          <w:szCs w:val="24"/>
        </w:rPr>
      </w:pPr>
      <w:r>
        <w:rPr>
          <w:rFonts w:hint="eastAsia"/>
          <w:sz w:val="24"/>
          <w:szCs w:val="24"/>
        </w:rPr>
        <w:t>联系电话：</w:t>
      </w:r>
    </w:p>
    <w:p>
      <w:pPr>
        <w:spacing w:line="360" w:lineRule="auto"/>
        <w:ind w:right="567" w:firstLine="5342" w:firstLineChars="2226"/>
        <w:jc w:val="both"/>
        <w:textAlignment w:val="baseline"/>
        <w:rPr>
          <w:b/>
          <w:sz w:val="24"/>
          <w:szCs w:val="24"/>
        </w:rPr>
      </w:pPr>
      <w:r>
        <w:rPr>
          <w:rFonts w:hint="eastAsia"/>
          <w:sz w:val="24"/>
          <w:szCs w:val="24"/>
        </w:rPr>
        <w:t>报价日期：</w:t>
      </w:r>
    </w:p>
    <w:p>
      <w:pPr>
        <w:rPr>
          <w:rFonts w:ascii="宋体" w:hAnsi="宋体"/>
          <w:sz w:val="18"/>
        </w:rPr>
      </w:pPr>
    </w:p>
    <w:p>
      <w:pPr>
        <w:spacing w:line="360" w:lineRule="auto"/>
        <w:ind w:right="-57" w:rightChars="-27"/>
        <w:jc w:val="center"/>
        <w:rPr>
          <w:rFonts w:hint="eastAsia" w:ascii="宋体" w:hAnsi="宋体"/>
          <w:b/>
          <w:sz w:val="32"/>
        </w:rPr>
      </w:pPr>
    </w:p>
    <w:p>
      <w:pPr>
        <w:spacing w:line="360" w:lineRule="auto"/>
        <w:ind w:right="-57" w:rightChars="-27"/>
        <w:jc w:val="center"/>
        <w:rPr>
          <w:rFonts w:ascii="宋体" w:hAnsi="宋体"/>
          <w:b/>
          <w:sz w:val="32"/>
        </w:rPr>
      </w:pPr>
      <w:r>
        <w:rPr>
          <w:rFonts w:hint="eastAsia" w:ascii="宋体" w:hAnsi="宋体"/>
          <w:b/>
          <w:sz w:val="32"/>
        </w:rPr>
        <w:t>投标廉洁承诺书</w:t>
      </w:r>
    </w:p>
    <w:p>
      <w:pPr>
        <w:spacing w:line="360" w:lineRule="auto"/>
        <w:ind w:right="945"/>
        <w:rPr>
          <w:rFonts w:hint="eastAsia" w:ascii="宋体" w:hAnsi="宋体"/>
          <w:sz w:val="28"/>
        </w:rPr>
      </w:pPr>
    </w:p>
    <w:p>
      <w:pPr>
        <w:spacing w:line="360" w:lineRule="auto"/>
        <w:ind w:right="945"/>
        <w:rPr>
          <w:rFonts w:ascii="宋体" w:hAnsi="宋体"/>
          <w:sz w:val="28"/>
          <w:u w:val="single"/>
        </w:rPr>
      </w:pPr>
      <w:r>
        <w:rPr>
          <w:rFonts w:hint="eastAsia" w:ascii="宋体" w:hAnsi="宋体"/>
          <w:sz w:val="28"/>
        </w:rPr>
        <w:t>致：</w:t>
      </w:r>
      <w:r>
        <w:rPr>
          <w:rFonts w:hint="eastAsia" w:ascii="宋体" w:hAnsi="宋体"/>
          <w:sz w:val="28"/>
          <w:u w:val="single"/>
        </w:rPr>
        <w:t xml:space="preserve"> 方大新材料（江西）有限公司  </w:t>
      </w:r>
    </w:p>
    <w:p>
      <w:pPr>
        <w:spacing w:line="360" w:lineRule="auto"/>
        <w:ind w:right="-57" w:rightChars="-27" w:firstLine="630"/>
        <w:rPr>
          <w:rFonts w:ascii="宋体" w:hAnsi="宋体"/>
          <w:sz w:val="28"/>
        </w:rPr>
      </w:pPr>
      <w:r>
        <w:rPr>
          <w:rFonts w:hint="eastAsia" w:ascii="宋体" w:hAnsi="宋体"/>
          <w:sz w:val="28"/>
        </w:rPr>
        <w:t>本公司就参加</w:t>
      </w:r>
      <w:r>
        <w:rPr>
          <w:rFonts w:hint="eastAsia" w:ascii="宋体" w:hAnsi="宋体"/>
          <w:sz w:val="28"/>
          <w:u w:val="single"/>
        </w:rPr>
        <w:t xml:space="preserve">                         </w:t>
      </w:r>
      <w:r>
        <w:rPr>
          <w:rFonts w:hint="eastAsia" w:ascii="宋体" w:hAnsi="宋体"/>
          <w:sz w:val="28"/>
        </w:rPr>
        <w:t>项目投标工作，郑重作出如下承诺：</w:t>
      </w:r>
    </w:p>
    <w:p>
      <w:pPr>
        <w:spacing w:line="360" w:lineRule="auto"/>
        <w:ind w:right="-57" w:rightChars="-27" w:firstLine="630"/>
        <w:rPr>
          <w:rFonts w:ascii="宋体" w:hAnsi="宋体"/>
          <w:sz w:val="28"/>
        </w:rPr>
      </w:pPr>
      <w:r>
        <w:rPr>
          <w:rFonts w:hint="eastAsia" w:ascii="宋体" w:hAnsi="宋体"/>
          <w:sz w:val="28"/>
        </w:rPr>
        <w:t>我公司已经充分阅读并清楚理解招标要求，我司参加投标所提供的报名材料是真实、合法的。如有机会成为正式投标人，我公司保证不与其他投标单位围标、串标，不出让投标资格，不向招标人、评标小组成员行贿和私下联系，同时不出现其他不廉洁行为。如有违反上述承诺，本公司愿意接受没收投标保证金处罚，并承担相关的法律责任。如果中标，本公司愿意向贵公司出具《诚信廉洁承诺书》。</w:t>
      </w:r>
    </w:p>
    <w:p>
      <w:pPr>
        <w:spacing w:line="360" w:lineRule="auto"/>
        <w:ind w:right="-57" w:rightChars="-27" w:firstLine="630"/>
        <w:rPr>
          <w:rFonts w:ascii="宋体" w:hAnsi="宋体"/>
          <w:sz w:val="28"/>
        </w:rPr>
      </w:pPr>
      <w:r>
        <w:rPr>
          <w:rFonts w:hint="eastAsia" w:ascii="宋体" w:hAnsi="宋体"/>
          <w:sz w:val="28"/>
        </w:rPr>
        <w:t>特此承诺！</w:t>
      </w:r>
    </w:p>
    <w:p>
      <w:pPr>
        <w:spacing w:line="360" w:lineRule="auto"/>
        <w:ind w:right="-57" w:rightChars="-27" w:firstLine="630"/>
        <w:rPr>
          <w:rFonts w:ascii="宋体" w:hAnsi="宋体"/>
          <w:sz w:val="28"/>
        </w:rPr>
      </w:pPr>
    </w:p>
    <w:p>
      <w:pPr>
        <w:spacing w:line="360" w:lineRule="auto"/>
        <w:ind w:right="-57" w:rightChars="-27" w:firstLine="630"/>
        <w:rPr>
          <w:rFonts w:ascii="宋体" w:hAnsi="宋体"/>
          <w:sz w:val="28"/>
        </w:rPr>
      </w:pPr>
      <w:r>
        <w:rPr>
          <w:rFonts w:hint="eastAsia" w:ascii="宋体" w:hAnsi="宋体"/>
          <w:sz w:val="28"/>
        </w:rPr>
        <w:t xml:space="preserve">                              承诺人：（盖章）</w:t>
      </w:r>
    </w:p>
    <w:p>
      <w:pPr>
        <w:spacing w:line="360" w:lineRule="auto"/>
        <w:ind w:right="-57" w:rightChars="-27" w:firstLine="630"/>
        <w:rPr>
          <w:rFonts w:ascii="宋体" w:hAnsi="宋体"/>
          <w:sz w:val="28"/>
        </w:rPr>
      </w:pPr>
      <w:r>
        <w:rPr>
          <w:rFonts w:hint="eastAsia" w:ascii="宋体" w:hAnsi="宋体"/>
          <w:sz w:val="28"/>
        </w:rPr>
        <w:t xml:space="preserve">                              法人签字：  </w:t>
      </w:r>
    </w:p>
    <w:p>
      <w:pPr>
        <w:spacing w:line="360" w:lineRule="auto"/>
        <w:ind w:right="-57" w:rightChars="-27"/>
        <w:rPr>
          <w:rFonts w:ascii="宋体" w:hAnsi="宋体"/>
          <w:sz w:val="28"/>
        </w:rPr>
      </w:pPr>
      <w:r>
        <w:rPr>
          <w:rFonts w:hint="eastAsia" w:ascii="宋体" w:hAnsi="宋体"/>
          <w:sz w:val="28"/>
        </w:rPr>
        <w:t xml:space="preserve">                                  日期：     年    月    日 </w:t>
      </w:r>
    </w:p>
    <w:p>
      <w:pPr>
        <w:spacing w:line="360" w:lineRule="auto"/>
        <w:ind w:right="-57" w:rightChars="-27"/>
        <w:rPr>
          <w:rFonts w:ascii="宋体" w:hAnsi="宋体"/>
          <w:sz w:val="28"/>
        </w:rPr>
      </w:pPr>
    </w:p>
    <w:p>
      <w:pPr>
        <w:spacing w:line="400" w:lineRule="exact"/>
        <w:ind w:right="-57" w:rightChars="-27"/>
        <w:rPr>
          <w:rFonts w:hint="eastAsia" w:ascii="宋体" w:hAnsi="宋体"/>
          <w:sz w:val="24"/>
        </w:rPr>
      </w:pPr>
      <w:r>
        <w:rPr>
          <w:rFonts w:hint="eastAsia" w:ascii="宋体" w:hAnsi="宋体"/>
          <w:sz w:val="28"/>
        </w:rPr>
        <w:t>方大集团举报投诉电话：0755-26788571-5515</w:t>
      </w:r>
    </w:p>
    <w:p>
      <w:pPr>
        <w:pStyle w:val="2"/>
        <w:numPr>
          <w:ilvl w:val="0"/>
          <w:numId w:val="0"/>
        </w:numPr>
        <w:spacing w:line="360" w:lineRule="auto"/>
        <w:ind w:leftChars="0"/>
        <w:jc w:val="both"/>
        <w:rPr>
          <w:rFonts w:hint="eastAsia"/>
          <w:b/>
          <w:sz w:val="32"/>
          <w:lang w:eastAsia="zh-CN"/>
        </w:rPr>
      </w:pPr>
    </w:p>
    <w:p>
      <w:pPr>
        <w:pStyle w:val="2"/>
        <w:numPr>
          <w:ilvl w:val="0"/>
          <w:numId w:val="0"/>
        </w:numPr>
        <w:spacing w:line="360" w:lineRule="auto"/>
        <w:ind w:leftChars="0"/>
        <w:jc w:val="both"/>
        <w:rPr>
          <w:rFonts w:hint="eastAsia"/>
          <w:b/>
          <w:sz w:val="32"/>
          <w:lang w:eastAsia="zh-CN"/>
        </w:rPr>
      </w:pPr>
    </w:p>
    <w:p>
      <w:pPr>
        <w:pStyle w:val="2"/>
        <w:numPr>
          <w:ilvl w:val="0"/>
          <w:numId w:val="0"/>
        </w:numPr>
        <w:spacing w:line="360" w:lineRule="auto"/>
        <w:ind w:leftChars="0"/>
        <w:jc w:val="both"/>
        <w:rPr>
          <w:rFonts w:hint="eastAsia"/>
          <w:b/>
          <w:sz w:val="32"/>
          <w:lang w:eastAsia="zh-CN"/>
        </w:rPr>
      </w:pPr>
    </w:p>
    <w:p>
      <w:pPr>
        <w:pStyle w:val="2"/>
        <w:numPr>
          <w:ilvl w:val="0"/>
          <w:numId w:val="0"/>
        </w:numPr>
        <w:spacing w:line="360" w:lineRule="auto"/>
        <w:ind w:leftChars="0"/>
        <w:jc w:val="both"/>
        <w:rPr>
          <w:rFonts w:hint="eastAsia"/>
          <w:b/>
          <w:sz w:val="32"/>
          <w:lang w:eastAsia="zh-CN"/>
        </w:rPr>
      </w:pPr>
    </w:p>
    <w:p>
      <w:pPr>
        <w:tabs>
          <w:tab w:val="left" w:pos="5780"/>
          <w:tab w:val="left" w:pos="7145"/>
        </w:tabs>
        <w:rPr>
          <w:b/>
          <w:sz w:val="28"/>
        </w:rPr>
      </w:pPr>
      <w:r>
        <w:rPr>
          <w:rFonts w:hint="eastAsia"/>
          <w:b/>
        </w:rPr>
        <w:t xml:space="preserve"> </w:t>
      </w:r>
      <w:r>
        <w:rPr>
          <w:rFonts w:hint="eastAsia"/>
          <w:b/>
          <w:sz w:val="28"/>
        </w:rPr>
        <w:t>乙方情况调查表</w:t>
      </w:r>
      <w:r>
        <w:rPr>
          <w:b/>
          <w:sz w:val="28"/>
        </w:rPr>
        <w:tab/>
      </w:r>
      <w:r>
        <w:rPr>
          <w:rFonts w:hint="eastAsia"/>
          <w:b/>
          <w:sz w:val="24"/>
        </w:rPr>
        <w:t>版次：B/0</w:t>
      </w:r>
      <w:r>
        <w:rPr>
          <w:b/>
          <w:sz w:val="24"/>
        </w:rPr>
        <w:tab/>
      </w:r>
      <w:r>
        <w:rPr>
          <w:b/>
          <w:sz w:val="24"/>
        </w:rPr>
        <w:t>QR</w:t>
      </w:r>
      <w:r>
        <w:rPr>
          <w:rFonts w:hint="eastAsia"/>
          <w:b/>
          <w:sz w:val="24"/>
        </w:rPr>
        <w:t>7</w:t>
      </w:r>
      <w:r>
        <w:rPr>
          <w:b/>
          <w:sz w:val="24"/>
        </w:rPr>
        <w:t>.</w:t>
      </w:r>
      <w:r>
        <w:rPr>
          <w:rFonts w:hint="eastAsia"/>
          <w:b/>
          <w:sz w:val="24"/>
        </w:rPr>
        <w:t>4</w:t>
      </w:r>
      <w:r>
        <w:rPr>
          <w:b/>
          <w:sz w:val="24"/>
        </w:rPr>
        <w:t>.1-</w:t>
      </w:r>
      <w:r>
        <w:rPr>
          <w:rFonts w:hint="eastAsia"/>
          <w:b/>
          <w:sz w:val="24"/>
        </w:rPr>
        <w:t xml:space="preserve">01 </w:t>
      </w:r>
    </w:p>
    <w:tbl>
      <w:tblPr>
        <w:tblStyle w:val="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600"/>
        <w:gridCol w:w="146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所供物资名称：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b/>
                <w:sz w:val="24"/>
              </w:rPr>
            </w:pPr>
            <w:r>
              <w:rPr>
                <w:rFonts w:hint="eastAsia"/>
                <w:b/>
                <w:sz w:val="24"/>
              </w:rPr>
              <w:t>一、公司概况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乙方名称：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4860" w:type="dxa"/>
            <w:gridSpan w:val="2"/>
            <w:noWrap w:val="0"/>
            <w:vAlign w:val="center"/>
          </w:tcPr>
          <w:p>
            <w:pPr>
              <w:rPr>
                <w:rFonts w:hint="eastAsia"/>
                <w:sz w:val="24"/>
              </w:rPr>
            </w:pPr>
            <w:r>
              <w:rPr>
                <w:rFonts w:hint="eastAsia"/>
                <w:sz w:val="24"/>
              </w:rPr>
              <w:t>公司性质：</w:t>
            </w:r>
          </w:p>
        </w:tc>
        <w:tc>
          <w:tcPr>
            <w:tcW w:w="4140" w:type="dxa"/>
            <w:gridSpan w:val="2"/>
            <w:noWrap w:val="0"/>
            <w:vAlign w:val="center"/>
          </w:tcPr>
          <w:p>
            <w:pPr>
              <w:rPr>
                <w:rFonts w:hint="eastAsia"/>
                <w:sz w:val="24"/>
              </w:rPr>
            </w:pPr>
            <w:r>
              <w:rPr>
                <w:rFonts w:hint="eastAsia"/>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成立时间：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注册资金：                  实收资本额：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员工人数：                  其中技术人员：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乙方联络人：                电话：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b/>
                <w:sz w:val="24"/>
              </w:rPr>
            </w:pPr>
            <w:r>
              <w:rPr>
                <w:rFonts w:hint="eastAsia"/>
                <w:b/>
                <w:sz w:val="24"/>
              </w:rPr>
              <w:t>二、业务概况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6320" w:type="dxa"/>
            <w:gridSpan w:val="3"/>
            <w:noWrap w:val="0"/>
            <w:vAlign w:val="center"/>
          </w:tcPr>
          <w:p>
            <w:pPr>
              <w:rPr>
                <w:rFonts w:hint="eastAsia"/>
                <w:sz w:val="24"/>
              </w:rPr>
            </w:pPr>
            <w:r>
              <w:rPr>
                <w:rFonts w:hint="eastAsia"/>
                <w:sz w:val="24"/>
              </w:rPr>
              <w:t>生产方式     计划生产□     定单生产□     混合□</w:t>
            </w:r>
          </w:p>
        </w:tc>
        <w:tc>
          <w:tcPr>
            <w:tcW w:w="2680" w:type="dxa"/>
            <w:noWrap w:val="0"/>
            <w:vAlign w:val="center"/>
          </w:tcPr>
          <w:p>
            <w:pPr>
              <w:rPr>
                <w:rFonts w:hint="eastAsia"/>
                <w:sz w:val="24"/>
              </w:rPr>
            </w:pPr>
            <w:r>
              <w:rPr>
                <w:rFonts w:hint="eastAsia"/>
                <w:sz w:val="24"/>
              </w:rPr>
              <w:t>自制率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4860" w:type="dxa"/>
            <w:gridSpan w:val="2"/>
            <w:noWrap w:val="0"/>
            <w:vAlign w:val="center"/>
          </w:tcPr>
          <w:p>
            <w:pPr>
              <w:rPr>
                <w:sz w:val="24"/>
              </w:rPr>
            </w:pPr>
            <w:r>
              <w:rPr>
                <w:rFonts w:hint="eastAsia"/>
                <w:sz w:val="24"/>
              </w:rPr>
              <w:t xml:space="preserve">年度平均月产量：             /月    </w:t>
            </w:r>
          </w:p>
        </w:tc>
        <w:tc>
          <w:tcPr>
            <w:tcW w:w="4140" w:type="dxa"/>
            <w:gridSpan w:val="2"/>
            <w:noWrap w:val="0"/>
            <w:vAlign w:val="center"/>
          </w:tcPr>
          <w:p>
            <w:pPr>
              <w:rPr>
                <w:sz w:val="24"/>
              </w:rPr>
            </w:pPr>
            <w:r>
              <w:rPr>
                <w:rFonts w:hint="eastAsia"/>
                <w:sz w:val="24"/>
              </w:rPr>
              <w:t xml:space="preserve">营业额：         万元/月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主要产品：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1260" w:type="dxa"/>
            <w:vMerge w:val="restart"/>
            <w:noWrap w:val="0"/>
            <w:vAlign w:val="center"/>
          </w:tcPr>
          <w:p>
            <w:pPr>
              <w:rPr>
                <w:rFonts w:hint="eastAsia"/>
                <w:sz w:val="24"/>
              </w:rPr>
            </w:pPr>
            <w:r>
              <w:rPr>
                <w:rFonts w:hint="eastAsia"/>
                <w:sz w:val="24"/>
              </w:rPr>
              <w:t>主要原材料来源</w:t>
            </w:r>
          </w:p>
        </w:tc>
        <w:tc>
          <w:tcPr>
            <w:tcW w:w="7740" w:type="dxa"/>
            <w:gridSpan w:val="3"/>
            <w:noWrap w:val="0"/>
            <w:vAlign w:val="center"/>
          </w:tcPr>
          <w:p>
            <w:pPr>
              <w:rPr>
                <w:rFonts w:hint="eastAsia"/>
                <w:sz w:val="24"/>
              </w:rPr>
            </w:pPr>
            <w:r>
              <w:rPr>
                <w:rFonts w:hint="eastAsia"/>
                <w:sz w:val="24"/>
              </w:rPr>
              <w:t>品名：             产地：         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1260" w:type="dxa"/>
            <w:vMerge w:val="continue"/>
            <w:noWrap w:val="0"/>
            <w:vAlign w:val="center"/>
          </w:tcPr>
          <w:p>
            <w:pPr>
              <w:rPr>
                <w:rFonts w:hint="eastAsia"/>
                <w:sz w:val="24"/>
              </w:rPr>
            </w:pPr>
          </w:p>
        </w:tc>
        <w:tc>
          <w:tcPr>
            <w:tcW w:w="7740" w:type="dxa"/>
            <w:gridSpan w:val="3"/>
            <w:noWrap w:val="0"/>
            <w:vAlign w:val="center"/>
          </w:tcPr>
          <w:p>
            <w:pPr>
              <w:rPr>
                <w:rFonts w:hint="eastAsia"/>
                <w:sz w:val="24"/>
              </w:rPr>
            </w:pPr>
            <w:r>
              <w:rPr>
                <w:rFonts w:hint="eastAsia"/>
                <w:sz w:val="24"/>
              </w:rPr>
              <w:t>品名：             产地：         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 xml:space="preserve">主要客户：1.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ind w:firstLine="1200"/>
              <w:rPr>
                <w:rFonts w:hint="eastAsia"/>
                <w:sz w:val="24"/>
              </w:rPr>
            </w:pPr>
            <w:r>
              <w:rPr>
                <w:rFonts w:hint="eastAsia"/>
                <w:sz w:val="24"/>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b/>
                <w:sz w:val="24"/>
              </w:rPr>
              <w:t>三、品质状态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质量体系认证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产品合格率：      %                 产品成品率：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产品品质管制流程：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主要检测工具：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产品检验标准：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品管人员文化程度：     本科□      大专□     中专或高中□     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b/>
                <w:sz w:val="24"/>
              </w:rPr>
            </w:pPr>
            <w:r>
              <w:rPr>
                <w:rFonts w:hint="eastAsia"/>
                <w:b/>
                <w:sz w:val="24"/>
              </w:rPr>
              <w:t>四、生产设备状态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sz w:val="24"/>
              </w:rPr>
            </w:pPr>
            <w:r>
              <w:rPr>
                <w:rFonts w:hint="eastAsia"/>
                <w:sz w:val="24"/>
              </w:rPr>
              <w:t>主要生产设备：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sz w:val="24"/>
              </w:rPr>
            </w:pPr>
            <w:r>
              <w:rPr>
                <w:rFonts w:hint="eastAsia"/>
                <w:sz w:val="24"/>
              </w:rPr>
              <w:t>1. 名称：                  产地：                    购置日期：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2. 名称：                  产地：                    购置日期：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9000" w:type="dxa"/>
            <w:gridSpan w:val="4"/>
            <w:noWrap w:val="0"/>
            <w:vAlign w:val="center"/>
          </w:tcPr>
          <w:p>
            <w:pPr>
              <w:rPr>
                <w:rFonts w:hint="eastAsia"/>
                <w:sz w:val="24"/>
              </w:rPr>
            </w:pPr>
            <w:r>
              <w:rPr>
                <w:rFonts w:hint="eastAsia"/>
                <w:sz w:val="24"/>
              </w:rPr>
              <w:t>3. 名称：                  产地：                    购置日期：</w:t>
            </w:r>
          </w:p>
        </w:tc>
      </w:tr>
    </w:tbl>
    <w:p>
      <w:pPr>
        <w:rPr>
          <w:rFonts w:hint="eastAsia"/>
        </w:rPr>
      </w:pPr>
      <w:r>
        <w:rPr>
          <w:rFonts w:hint="eastAsia"/>
          <w:sz w:val="24"/>
        </w:rPr>
        <w:t>填表人：                                                 日期：</w:t>
      </w:r>
    </w:p>
    <w:p>
      <w:pPr>
        <w:pStyle w:val="2"/>
        <w:numPr>
          <w:ilvl w:val="0"/>
          <w:numId w:val="0"/>
        </w:numPr>
        <w:spacing w:line="360" w:lineRule="auto"/>
        <w:ind w:leftChars="0"/>
        <w:jc w:val="both"/>
        <w:rPr>
          <w:rFonts w:hint="eastAsia"/>
          <w:b/>
          <w:sz w:val="32"/>
          <w:lang w:eastAsia="zh-CN"/>
        </w:rPr>
      </w:pPr>
    </w:p>
    <w:p>
      <w:pPr>
        <w:spacing w:line="500" w:lineRule="exact"/>
        <w:jc w:val="center"/>
        <w:rPr>
          <w:rFonts w:ascii="宋体"/>
          <w:b/>
          <w:bCs/>
          <w:sz w:val="36"/>
          <w:szCs w:val="36"/>
          <w:highlight w:val="none"/>
        </w:rPr>
      </w:pPr>
      <w:r>
        <w:rPr>
          <w:rFonts w:hint="eastAsia" w:ascii="宋体" w:hAnsi="宋体" w:cs="宋体"/>
          <w:b/>
          <w:bCs/>
          <w:sz w:val="36"/>
          <w:szCs w:val="36"/>
          <w:highlight w:val="none"/>
        </w:rPr>
        <w:t>阳极氧化铝板采购合同</w:t>
      </w:r>
    </w:p>
    <w:p>
      <w:pPr>
        <w:tabs>
          <w:tab w:val="left" w:pos="6840"/>
        </w:tabs>
        <w:spacing w:line="450" w:lineRule="exact"/>
        <w:ind w:left="-315" w:leftChars="-150" w:firstLine="241" w:firstLineChars="100"/>
        <w:rPr>
          <w:rFonts w:hint="default" w:ascii="宋体" w:eastAsia="宋体"/>
          <w:b/>
          <w:bCs/>
          <w:sz w:val="24"/>
          <w:szCs w:val="24"/>
          <w:highlight w:val="none"/>
          <w:lang w:val="en-US" w:eastAsia="zh-CN"/>
        </w:rPr>
      </w:pPr>
      <w:r>
        <w:rPr>
          <w:rFonts w:hint="eastAsia" w:ascii="宋体" w:hAnsi="宋体" w:cs="宋体"/>
          <w:b/>
          <w:bCs/>
          <w:sz w:val="24"/>
          <w:szCs w:val="24"/>
          <w:highlight w:val="none"/>
        </w:rPr>
        <w:t>甲方：</w:t>
      </w:r>
      <w:r>
        <w:rPr>
          <w:rFonts w:hint="eastAsia" w:ascii="宋体" w:hAnsi="宋体" w:cs="宋体"/>
          <w:b/>
          <w:bCs/>
          <w:sz w:val="24"/>
          <w:szCs w:val="24"/>
          <w:highlight w:val="none"/>
          <w:lang w:eastAsia="zh-CN"/>
        </w:rPr>
        <w:t>方大新材料（江西）有限公司</w:t>
      </w:r>
      <w:r>
        <w:rPr>
          <w:rFonts w:hint="eastAsia" w:ascii="宋体" w:hAnsi="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rPr>
        <w:t>合同编号：</w:t>
      </w:r>
      <w:r>
        <w:rPr>
          <w:rFonts w:hint="eastAsia" w:ascii="宋体" w:hAnsi="宋体" w:cs="宋体"/>
          <w:b/>
          <w:bCs/>
          <w:sz w:val="24"/>
          <w:szCs w:val="24"/>
          <w:highlight w:val="none"/>
          <w:lang w:val="en-US" w:eastAsia="zh-CN"/>
        </w:rPr>
        <w:t>JXXC</w:t>
      </w:r>
      <w:r>
        <w:rPr>
          <w:rFonts w:ascii="宋体" w:hAnsi="宋体" w:cs="宋体"/>
          <w:b/>
          <w:bCs/>
          <w:sz w:val="24"/>
          <w:szCs w:val="24"/>
          <w:highlight w:val="none"/>
        </w:rPr>
        <w:t>-</w:t>
      </w:r>
      <w:r>
        <w:rPr>
          <w:rFonts w:hint="eastAsia" w:ascii="宋体" w:hAnsi="宋体" w:cs="宋体"/>
          <w:b/>
          <w:bCs/>
          <w:sz w:val="24"/>
          <w:szCs w:val="24"/>
          <w:highlight w:val="none"/>
          <w:lang w:val="en-US" w:eastAsia="zh-CN"/>
        </w:rPr>
        <w:t>2023001</w:t>
      </w:r>
    </w:p>
    <w:p>
      <w:pPr>
        <w:spacing w:line="460" w:lineRule="exact"/>
        <w:ind w:left="-315" w:leftChars="-150" w:right="-286" w:rightChars="-136" w:firstLine="241" w:firstLineChars="100"/>
        <w:rPr>
          <w:rFonts w:hint="eastAsia" w:ascii="宋体" w:eastAsia="宋体"/>
          <w:sz w:val="24"/>
          <w:szCs w:val="24"/>
          <w:highlight w:val="none"/>
          <w:lang w:eastAsia="zh-CN"/>
        </w:rPr>
      </w:pPr>
      <w:r>
        <w:rPr>
          <w:rFonts w:hint="eastAsia" w:ascii="宋体" w:hAnsi="宋体" w:cs="宋体"/>
          <w:b/>
          <w:bCs/>
          <w:sz w:val="24"/>
          <w:szCs w:val="24"/>
          <w:highlight w:val="none"/>
        </w:rPr>
        <w:t xml:space="preserve">乙方：            </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rPr>
        <w:t>签订地点：</w:t>
      </w:r>
      <w:r>
        <w:rPr>
          <w:rFonts w:hint="eastAsia" w:ascii="宋体" w:hAnsi="宋体" w:cs="宋体"/>
          <w:b/>
          <w:bCs/>
          <w:sz w:val="24"/>
          <w:szCs w:val="24"/>
          <w:highlight w:val="none"/>
          <w:lang w:eastAsia="zh-CN"/>
        </w:rPr>
        <w:t>江西省南昌市</w:t>
      </w:r>
    </w:p>
    <w:p>
      <w:pPr>
        <w:spacing w:line="460" w:lineRule="exact"/>
        <w:ind w:left="-76" w:leftChars="-36" w:firstLine="480" w:firstLineChars="200"/>
        <w:rPr>
          <w:rFonts w:hint="eastAsia" w:ascii="宋体" w:hAnsi="宋体" w:cs="宋体"/>
          <w:sz w:val="24"/>
          <w:szCs w:val="24"/>
          <w:highlight w:val="none"/>
        </w:rPr>
      </w:pPr>
      <w:r>
        <w:rPr>
          <w:rFonts w:hint="eastAsia" w:ascii="宋体" w:hAnsi="宋体" w:cs="宋体"/>
          <w:sz w:val="24"/>
          <w:szCs w:val="24"/>
          <w:highlight w:val="none"/>
        </w:rPr>
        <w:t>甲乙双方依照《中华人民共和国民法典》，经友好协商，就甲方向乙方购买</w:t>
      </w:r>
      <w:r>
        <w:rPr>
          <w:rFonts w:hint="eastAsia" w:ascii="宋体" w:hAnsi="宋体" w:cs="宋体"/>
          <w:sz w:val="24"/>
          <w:highlight w:val="none"/>
          <w:u w:val="single"/>
          <w:lang w:val="en-US" w:eastAsia="zh-CN"/>
        </w:rPr>
        <w:t>1F项目</w:t>
      </w:r>
      <w:r>
        <w:rPr>
          <w:rFonts w:hint="eastAsia" w:ascii="宋体" w:hAnsi="宋体" w:cs="宋体"/>
          <w:sz w:val="24"/>
          <w:szCs w:val="24"/>
          <w:highlight w:val="none"/>
        </w:rPr>
        <w:t>所用阳极氧化</w:t>
      </w:r>
      <w:r>
        <w:rPr>
          <w:rFonts w:hint="eastAsia" w:ascii="宋体" w:hAnsi="宋体" w:cs="宋体"/>
          <w:sz w:val="24"/>
          <w:szCs w:val="24"/>
          <w:highlight w:val="none"/>
          <w:lang w:eastAsia="zh-CN"/>
        </w:rPr>
        <w:t>铝</w:t>
      </w:r>
      <w:r>
        <w:rPr>
          <w:rFonts w:hint="eastAsia" w:ascii="宋体" w:hAnsi="宋体" w:cs="宋体"/>
          <w:sz w:val="24"/>
          <w:szCs w:val="24"/>
          <w:highlight w:val="none"/>
        </w:rPr>
        <w:t>板事宜一致达成合同如下：</w:t>
      </w:r>
    </w:p>
    <w:p>
      <w:pPr>
        <w:numPr>
          <w:ilvl w:val="0"/>
          <w:numId w:val="4"/>
        </w:numPr>
        <w:spacing w:line="460" w:lineRule="exact"/>
        <w:ind w:right="-286" w:rightChars="-136"/>
        <w:rPr>
          <w:rFonts w:ascii="宋体"/>
          <w:sz w:val="24"/>
          <w:szCs w:val="24"/>
          <w:highlight w:val="none"/>
        </w:rPr>
      </w:pPr>
      <w:r>
        <w:rPr>
          <w:rFonts w:hint="eastAsia" w:ascii="宋体" w:hAnsi="宋体" w:cs="宋体"/>
          <w:sz w:val="24"/>
          <w:szCs w:val="24"/>
          <w:highlight w:val="none"/>
        </w:rPr>
        <w:t>产品名称、合金牌号</w:t>
      </w:r>
      <w:r>
        <w:rPr>
          <w:rFonts w:ascii="宋体" w:hAnsi="宋体" w:cs="宋体"/>
          <w:sz w:val="24"/>
          <w:szCs w:val="24"/>
          <w:highlight w:val="none"/>
        </w:rPr>
        <w:t>/</w:t>
      </w:r>
      <w:r>
        <w:rPr>
          <w:rFonts w:hint="eastAsia" w:ascii="宋体" w:hAnsi="宋体" w:cs="宋体"/>
          <w:sz w:val="24"/>
          <w:szCs w:val="24"/>
          <w:highlight w:val="none"/>
        </w:rPr>
        <w:t>状态、颜色、规格、面积、单价、金额：</w:t>
      </w:r>
    </w:p>
    <w:tbl>
      <w:tblPr>
        <w:tblStyle w:val="4"/>
        <w:tblW w:w="11310" w:type="dxa"/>
        <w:tblInd w:w="-738" w:type="dxa"/>
        <w:shd w:val="clear" w:color="auto" w:fill="auto"/>
        <w:tblLayout w:type="fixed"/>
        <w:tblCellMar>
          <w:top w:w="0" w:type="dxa"/>
          <w:left w:w="0" w:type="dxa"/>
          <w:bottom w:w="0" w:type="dxa"/>
          <w:right w:w="0" w:type="dxa"/>
        </w:tblCellMar>
      </w:tblPr>
      <w:tblGrid>
        <w:gridCol w:w="420"/>
        <w:gridCol w:w="810"/>
        <w:gridCol w:w="765"/>
        <w:gridCol w:w="2160"/>
        <w:gridCol w:w="1710"/>
        <w:gridCol w:w="930"/>
        <w:gridCol w:w="885"/>
        <w:gridCol w:w="1065"/>
        <w:gridCol w:w="915"/>
        <w:gridCol w:w="855"/>
        <w:gridCol w:w="795"/>
      </w:tblGrid>
      <w:tr>
        <w:tblPrEx>
          <w:shd w:val="clear" w:color="auto" w:fill="auto"/>
          <w:tblCellMar>
            <w:top w:w="0" w:type="dxa"/>
            <w:left w:w="0" w:type="dxa"/>
            <w:bottom w:w="0" w:type="dxa"/>
            <w:right w:w="0" w:type="dxa"/>
          </w:tblCellMar>
        </w:tblPrEx>
        <w:trPr>
          <w:trHeight w:val="7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厚度(mm)</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材质</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技术要求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规格(mm)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色号</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数量（m2)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单价（元/m2)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单价不含税（元/m2)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单价税金（元/m2)</w:t>
            </w:r>
          </w:p>
        </w:tc>
      </w:tr>
      <w:tr>
        <w:tblPrEx>
          <w:shd w:val="clear" w:color="auto" w:fill="auto"/>
          <w:tblCellMar>
            <w:top w:w="0" w:type="dxa"/>
            <w:left w:w="0" w:type="dxa"/>
            <w:bottom w:w="0" w:type="dxa"/>
            <w:right w:w="0" w:type="dxa"/>
          </w:tblCellMar>
        </w:tblPrEx>
        <w:trPr>
          <w:trHeight w:val="4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1200*L,片状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G20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11050KG</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2038.75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1500*2360MM，片状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G30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24pcs</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129.60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1500*2360MM，片状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G40，镜面</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26pcs</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92.04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1500*L,片状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5400KG</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1660.52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1500*1620MM，片状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56pcs</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136.08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1500*1620MM，片状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G40，镜面</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99pcs</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240.57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1.20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5005 </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20μm，户外20年质保</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1500*1620MM，片状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72pcs</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174.96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874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总金额（元）</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2"/>
      </w:pPr>
    </w:p>
    <w:p>
      <w:pPr>
        <w:spacing w:line="420" w:lineRule="atLeast"/>
        <w:rPr>
          <w:rFonts w:hint="eastAsia" w:ascii="宋体" w:hAnsi="宋体" w:cs="宋体"/>
          <w:sz w:val="24"/>
          <w:szCs w:val="24"/>
          <w:highlight w:val="none"/>
        </w:rPr>
      </w:pPr>
      <w:r>
        <w:rPr>
          <w:rFonts w:hint="eastAsia" w:ascii="宋体" w:hAnsi="宋体" w:cs="宋体"/>
          <w:sz w:val="24"/>
          <w:szCs w:val="24"/>
          <w:highlight w:val="none"/>
        </w:rPr>
        <w:t>备注：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合同单价为平板统一价格，</w:t>
      </w:r>
      <w:r>
        <w:rPr>
          <w:rFonts w:hint="eastAsia" w:ascii="宋体" w:hAnsi="宋体" w:cs="宋体"/>
          <w:sz w:val="24"/>
          <w:szCs w:val="24"/>
          <w:highlight w:val="none"/>
        </w:rPr>
        <w:t>单价包括按照甲方订单（含下料单）所要求的材料费</w:t>
      </w:r>
      <w:r>
        <w:rPr>
          <w:rFonts w:hint="eastAsia" w:ascii="宋体" w:hAnsi="宋体" w:cs="宋体"/>
          <w:sz w:val="24"/>
          <w:szCs w:val="24"/>
          <w:highlight w:val="none"/>
          <w:u w:val="single"/>
        </w:rPr>
        <w:t>至</w:t>
      </w:r>
      <w:r>
        <w:rPr>
          <w:rFonts w:hint="eastAsia" w:ascii="宋体" w:hAnsi="宋体" w:cs="宋体"/>
          <w:sz w:val="24"/>
          <w:szCs w:val="24"/>
          <w:highlight w:val="none"/>
          <w:u w:val="single"/>
          <w:lang w:eastAsia="zh-CN"/>
        </w:rPr>
        <w:t>上海</w:t>
      </w:r>
      <w:r>
        <w:rPr>
          <w:rFonts w:hint="eastAsia" w:ascii="宋体" w:hAnsi="宋体" w:cs="宋体"/>
          <w:sz w:val="24"/>
          <w:szCs w:val="24"/>
          <w:highlight w:val="none"/>
          <w:u w:val="single"/>
          <w:lang w:val="en-US" w:eastAsia="zh-CN"/>
        </w:rPr>
        <w:t>/深圳</w:t>
      </w:r>
      <w:r>
        <w:rPr>
          <w:rFonts w:hint="eastAsia" w:ascii="宋体" w:hAnsi="宋体" w:cs="宋体"/>
          <w:sz w:val="24"/>
          <w:szCs w:val="24"/>
          <w:highlight w:val="none"/>
        </w:rPr>
        <w:t>运费、包装费</w:t>
      </w:r>
      <w:r>
        <w:rPr>
          <w:rFonts w:hint="eastAsia" w:ascii="宋体" w:hAnsi="宋体" w:cs="宋体"/>
          <w:sz w:val="24"/>
          <w:szCs w:val="24"/>
          <w:highlight w:val="none"/>
          <w:lang w:eastAsia="zh-CN"/>
        </w:rPr>
        <w:t>（木箱加托盘）</w:t>
      </w:r>
      <w:r>
        <w:rPr>
          <w:rFonts w:hint="eastAsia" w:ascii="宋体" w:hAnsi="宋体" w:cs="宋体"/>
          <w:sz w:val="24"/>
          <w:szCs w:val="24"/>
          <w:highlight w:val="none"/>
        </w:rPr>
        <w:t>、装车费、</w:t>
      </w:r>
      <w:r>
        <w:rPr>
          <w:rFonts w:ascii="宋体" w:hAnsi="宋体" w:cs="宋体"/>
          <w:sz w:val="24"/>
          <w:szCs w:val="24"/>
          <w:highlight w:val="none"/>
        </w:rPr>
        <w:t>13%</w:t>
      </w:r>
      <w:r>
        <w:rPr>
          <w:rFonts w:hint="eastAsia" w:ascii="宋体" w:hAnsi="宋体" w:cs="宋体"/>
          <w:sz w:val="24"/>
          <w:szCs w:val="24"/>
          <w:highlight w:val="none"/>
        </w:rPr>
        <w:t>增值税专用发票税金（</w:t>
      </w:r>
      <w:r>
        <w:rPr>
          <w:rFonts w:hint="eastAsia" w:ascii="宋体" w:cs="宋体"/>
          <w:color w:val="000000"/>
          <w:sz w:val="24"/>
          <w:szCs w:val="24"/>
          <w:highlight w:val="none"/>
          <w:lang w:val="zh-CN"/>
        </w:rPr>
        <w:t>合同履行过程中，遇国家税率发生变化，则合同约定的税金、含税单价和合同金额应按调整后税率进行变更</w:t>
      </w:r>
      <w:r>
        <w:rPr>
          <w:rFonts w:ascii="宋体" w:cs="宋体"/>
          <w:color w:val="000000"/>
          <w:sz w:val="24"/>
          <w:szCs w:val="24"/>
          <w:highlight w:val="none"/>
          <w:lang w:val="zh-CN"/>
        </w:rPr>
        <w:t>,</w:t>
      </w:r>
      <w:r>
        <w:rPr>
          <w:rFonts w:hint="eastAsia" w:ascii="宋体" w:hAnsi="宋体" w:cs="宋体"/>
          <w:sz w:val="24"/>
          <w:szCs w:val="24"/>
          <w:highlight w:val="none"/>
        </w:rPr>
        <w:t>不含税价格不变）等相关费用。</w:t>
      </w:r>
    </w:p>
    <w:p>
      <w:pPr>
        <w:numPr>
          <w:ilvl w:val="0"/>
          <w:numId w:val="5"/>
        </w:numPr>
        <w:tabs>
          <w:tab w:val="left" w:pos="612"/>
        </w:tabs>
        <w:spacing w:line="420" w:lineRule="atLeast"/>
        <w:ind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以上数量为暂定数量，实际结算数量以甲方订料单与实际甲方到货验收数量中较多者为准。当合同在执行过程中下单数量超过甲方订料单数量，需要增补的情况。双方需签订补充协议。合同单价及交货期重新商议。</w:t>
      </w:r>
    </w:p>
    <w:p>
      <w:pPr>
        <w:pStyle w:val="2"/>
        <w:numPr>
          <w:ilvl w:val="0"/>
          <w:numId w:val="5"/>
        </w:numPr>
        <w:spacing w:line="360" w:lineRule="auto"/>
        <w:ind w:left="0" w:leftChars="0" w:firstLine="480" w:firstLineChars="200"/>
        <w:jc w:val="both"/>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rPr>
        <w:t>如按业主（或总包方、监理方）要求，需对</w:t>
      </w:r>
      <w:r>
        <w:rPr>
          <w:rFonts w:hint="eastAsia" w:ascii="宋体" w:hAnsi="宋体" w:cs="宋体"/>
          <w:color w:val="000000"/>
          <w:sz w:val="24"/>
          <w:szCs w:val="24"/>
          <w:highlight w:val="none"/>
          <w:lang w:eastAsia="zh-CN"/>
        </w:rPr>
        <w:t>氧化铝板</w:t>
      </w:r>
      <w:r>
        <w:rPr>
          <w:rFonts w:hint="eastAsia" w:ascii="宋体" w:hAnsi="宋体" w:cs="宋体"/>
          <w:color w:val="000000"/>
          <w:sz w:val="24"/>
          <w:szCs w:val="24"/>
          <w:highlight w:val="none"/>
        </w:rPr>
        <w:t>进行产品检测，乙方提供</w:t>
      </w:r>
      <w:r>
        <w:rPr>
          <w:rFonts w:hint="eastAsia" w:ascii="宋体" w:hAnsi="宋体" w:cs="宋体"/>
          <w:color w:val="000000"/>
          <w:sz w:val="24"/>
          <w:szCs w:val="24"/>
          <w:highlight w:val="none"/>
          <w:lang w:val="en-US" w:eastAsia="zh-CN"/>
        </w:rPr>
        <w:t>A4样板</w:t>
      </w:r>
      <w:r>
        <w:rPr>
          <w:rFonts w:hint="eastAsia" w:ascii="宋体" w:hAnsi="宋体" w:cs="宋体"/>
          <w:color w:val="000000"/>
          <w:sz w:val="24"/>
          <w:szCs w:val="24"/>
          <w:highlight w:val="none"/>
        </w:rPr>
        <w:t>检测样品</w:t>
      </w:r>
      <w:r>
        <w:rPr>
          <w:rFonts w:hint="eastAsia" w:ascii="宋体" w:hAnsi="宋体" w:cs="宋体"/>
          <w:color w:val="000000"/>
          <w:sz w:val="24"/>
          <w:szCs w:val="24"/>
          <w:highlight w:val="none"/>
          <w:lang w:eastAsia="zh-CN"/>
        </w:rPr>
        <w:t>（按检测需求尺寸提供样品），</w:t>
      </w:r>
      <w:r>
        <w:rPr>
          <w:rFonts w:hint="eastAsia" w:ascii="宋体" w:hAnsi="宋体" w:cs="宋体"/>
          <w:color w:val="000000"/>
          <w:sz w:val="24"/>
          <w:szCs w:val="24"/>
          <w:highlight w:val="none"/>
          <w:lang w:val="en-US" w:eastAsia="zh-CN"/>
        </w:rPr>
        <w:t>如检测不合格乙方</w:t>
      </w:r>
      <w:r>
        <w:rPr>
          <w:rFonts w:hint="eastAsia" w:ascii="宋体" w:hAnsi="宋体" w:cs="宋体"/>
          <w:color w:val="000000"/>
          <w:sz w:val="24"/>
          <w:szCs w:val="24"/>
          <w:highlight w:val="none"/>
          <w:lang w:eastAsia="zh-CN"/>
        </w:rPr>
        <w:t>承担检测费。</w:t>
      </w:r>
    </w:p>
    <w:p>
      <w:pPr>
        <w:tabs>
          <w:tab w:val="left" w:pos="612"/>
        </w:tabs>
        <w:spacing w:line="420" w:lineRule="atLeast"/>
        <w:textAlignment w:val="baseline"/>
        <w:rPr>
          <w:rFonts w:hint="eastAsia" w:ascii="宋体" w:hAnsi="宋体" w:cs="宋体"/>
          <w:b/>
          <w:bCs/>
          <w:sz w:val="24"/>
          <w:szCs w:val="24"/>
          <w:highlight w:val="none"/>
        </w:rPr>
      </w:pPr>
      <w:r>
        <w:rPr>
          <w:rFonts w:hint="eastAsia" w:ascii="宋体" w:hAnsi="宋体" w:cs="宋体"/>
          <w:b/>
          <w:bCs/>
          <w:sz w:val="24"/>
          <w:szCs w:val="24"/>
          <w:highlight w:val="none"/>
        </w:rPr>
        <w:t>第二条质量要求及技术标准</w:t>
      </w:r>
    </w:p>
    <w:p>
      <w:pPr>
        <w:tabs>
          <w:tab w:val="left" w:pos="612"/>
        </w:tabs>
        <w:spacing w:line="420" w:lineRule="exact"/>
        <w:rPr>
          <w:rFonts w:hint="eastAsia" w:ascii="宋体" w:hAnsi="宋体"/>
          <w:color w:val="000000"/>
          <w:sz w:val="24"/>
          <w:highlight w:val="none"/>
        </w:rPr>
      </w:pPr>
      <w:r>
        <w:rPr>
          <w:rFonts w:hint="eastAsia" w:ascii="宋体" w:hAnsi="宋体"/>
          <w:color w:val="000000"/>
          <w:sz w:val="24"/>
          <w:highlight w:val="none"/>
        </w:rPr>
        <w:t>1、本合同采购的阳极氧化铝板品牌为</w:t>
      </w:r>
      <w:r>
        <w:rPr>
          <w:rFonts w:hint="eastAsia" w:ascii="宋体" w:hAnsi="宋体"/>
          <w:color w:val="000000"/>
          <w:sz w:val="24"/>
          <w:highlight w:val="none"/>
          <w:lang w:eastAsia="zh-CN"/>
        </w:rPr>
        <w:t>国产优质</w:t>
      </w:r>
      <w:r>
        <w:rPr>
          <w:rFonts w:hint="eastAsia" w:ascii="宋体" w:hAnsi="宋体"/>
          <w:color w:val="000000"/>
          <w:sz w:val="24"/>
          <w:highlight w:val="none"/>
        </w:rPr>
        <w:t>品牌。</w:t>
      </w:r>
    </w:p>
    <w:p>
      <w:pPr>
        <w:tabs>
          <w:tab w:val="left" w:pos="612"/>
        </w:tabs>
        <w:spacing w:line="420" w:lineRule="exact"/>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、板基状态:5005AQ-H14。铝板光材厚度不小于</w:t>
      </w:r>
      <w:r>
        <w:rPr>
          <w:rFonts w:hint="eastAsia" w:ascii="宋体" w:hAnsi="宋体"/>
          <w:color w:val="000000"/>
          <w:sz w:val="24"/>
          <w:highlight w:val="none"/>
          <w:lang w:val="en-US" w:eastAsia="zh-CN"/>
        </w:rPr>
        <w:t>1.89</w:t>
      </w:r>
      <w:r>
        <w:rPr>
          <w:rFonts w:hint="eastAsia" w:ascii="宋体" w:hAnsi="宋体"/>
          <w:color w:val="000000"/>
          <w:sz w:val="24"/>
          <w:highlight w:val="none"/>
        </w:rPr>
        <w:t>mm</w:t>
      </w:r>
      <w:r>
        <w:rPr>
          <w:rFonts w:hint="eastAsia" w:ascii="宋体" w:hAnsi="宋体"/>
          <w:color w:val="000000"/>
          <w:sz w:val="24"/>
          <w:highlight w:val="none"/>
          <w:lang w:val="en-US" w:eastAsia="zh-CN"/>
        </w:rPr>
        <w:t>&amp;1.12mm</w:t>
      </w:r>
      <w:r>
        <w:rPr>
          <w:rFonts w:hint="eastAsia" w:ascii="宋体" w:hAnsi="宋体"/>
          <w:color w:val="000000"/>
          <w:sz w:val="24"/>
          <w:highlight w:val="none"/>
        </w:rPr>
        <w:t>。基材合金成份及机械性能按照</w:t>
      </w:r>
      <w:r>
        <w:rPr>
          <w:rFonts w:hint="eastAsia" w:ascii="宋体" w:hAnsi="宋体"/>
          <w:color w:val="000000"/>
          <w:sz w:val="24"/>
          <w:highlight w:val="none"/>
          <w:lang w:val="en-US" w:eastAsia="zh-CN"/>
        </w:rPr>
        <w:t>GB/T23443</w:t>
      </w:r>
      <w:r>
        <w:rPr>
          <w:rFonts w:hint="eastAsia" w:ascii="宋体" w:hAnsi="宋体"/>
          <w:color w:val="000000"/>
          <w:sz w:val="24"/>
          <w:highlight w:val="none"/>
        </w:rPr>
        <w:t>标准执行。</w:t>
      </w:r>
    </w:p>
    <w:p>
      <w:pPr>
        <w:tabs>
          <w:tab w:val="left" w:pos="612"/>
        </w:tabs>
        <w:spacing w:line="420" w:lineRule="exact"/>
        <w:rPr>
          <w:rFonts w:hint="eastAsia" w:ascii="宋体" w:hAnsi="宋体"/>
          <w:color w:val="000000"/>
          <w:sz w:val="24"/>
          <w:highlight w:val="none"/>
        </w:rPr>
      </w:pPr>
      <w:r>
        <w:rPr>
          <w:rFonts w:hint="eastAsia" w:ascii="宋体" w:hAnsi="宋体"/>
          <w:color w:val="000000"/>
          <w:sz w:val="24"/>
          <w:highlight w:val="none"/>
        </w:rPr>
        <w:t>3、本合同采购的阳极氧化铝单板</w:t>
      </w:r>
      <w:r>
        <w:rPr>
          <w:rFonts w:hint="eastAsia" w:ascii="宋体" w:hAnsi="宋体"/>
          <w:color w:val="000000"/>
          <w:sz w:val="24"/>
          <w:highlight w:val="none"/>
          <w:lang w:val="en-US" w:eastAsia="zh-CN"/>
        </w:rPr>
        <w:t>,</w:t>
      </w:r>
      <w:r>
        <w:rPr>
          <w:rFonts w:hint="eastAsia" w:ascii="宋体" w:hAnsi="宋体"/>
          <w:color w:val="000000"/>
          <w:sz w:val="24"/>
          <w:highlight w:val="none"/>
        </w:rPr>
        <w:t>氧化平均膜厚≥20μm，局部膜厚≥1</w:t>
      </w:r>
      <w:r>
        <w:rPr>
          <w:rFonts w:hint="eastAsia" w:ascii="宋体" w:hAnsi="宋体"/>
          <w:color w:val="000000"/>
          <w:sz w:val="24"/>
          <w:highlight w:val="none"/>
          <w:lang w:val="en-US" w:eastAsia="zh-CN"/>
        </w:rPr>
        <w:t>8</w:t>
      </w:r>
      <w:r>
        <w:rPr>
          <w:rFonts w:hint="eastAsia" w:ascii="宋体" w:hAnsi="宋体"/>
          <w:color w:val="000000"/>
          <w:sz w:val="24"/>
          <w:highlight w:val="none"/>
        </w:rPr>
        <w:t>μm。色差：对比封样，同一批次△3，不同批次△3.5。供货需提供</w:t>
      </w:r>
      <w:r>
        <w:rPr>
          <w:rFonts w:hint="eastAsia" w:ascii="宋体" w:hAnsi="宋体"/>
          <w:color w:val="000000"/>
          <w:sz w:val="24"/>
          <w:highlight w:val="none"/>
          <w:lang w:eastAsia="zh-CN"/>
        </w:rPr>
        <w:t>户外</w:t>
      </w:r>
      <w:r>
        <w:rPr>
          <w:rFonts w:hint="eastAsia" w:ascii="宋体" w:hAnsi="宋体"/>
          <w:color w:val="000000"/>
          <w:sz w:val="24"/>
          <w:highlight w:val="none"/>
          <w:lang w:val="en-US" w:eastAsia="zh-CN"/>
        </w:rPr>
        <w:t>20</w:t>
      </w:r>
      <w:r>
        <w:rPr>
          <w:rFonts w:hint="eastAsia" w:ascii="宋体" w:hAnsi="宋体"/>
          <w:color w:val="000000"/>
          <w:sz w:val="24"/>
          <w:highlight w:val="none"/>
        </w:rPr>
        <w:t>年的质量保证书。</w:t>
      </w:r>
    </w:p>
    <w:p>
      <w:pPr>
        <w:spacing w:line="420" w:lineRule="atLeas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、乙方每批交货时，须同时提供产品质量证明资料、</w:t>
      </w:r>
      <w:r>
        <w:rPr>
          <w:rFonts w:hint="eastAsia" w:ascii="宋体" w:hAnsi="宋体" w:cs="宋体"/>
          <w:sz w:val="24"/>
          <w:szCs w:val="24"/>
          <w:highlight w:val="none"/>
          <w:lang w:val="en-US" w:eastAsia="zh-CN"/>
        </w:rPr>
        <w:t>原产地证明</w:t>
      </w:r>
      <w:r>
        <w:rPr>
          <w:rFonts w:hint="eastAsia" w:ascii="宋体" w:hAnsi="宋体" w:cs="宋体"/>
          <w:sz w:val="24"/>
          <w:szCs w:val="24"/>
          <w:highlight w:val="none"/>
        </w:rPr>
        <w:t>及送货清单等原件。若乙方未提供上述资料，甲方可暂不付款且不承担延迟支付的责任。</w:t>
      </w:r>
    </w:p>
    <w:p>
      <w:pPr>
        <w:spacing w:line="400" w:lineRule="atLeast"/>
        <w:ind w:right="-286" w:rightChars="-136"/>
        <w:rPr>
          <w:rFonts w:ascii="宋体"/>
          <w:b/>
          <w:bCs/>
          <w:sz w:val="24"/>
          <w:szCs w:val="24"/>
          <w:highlight w:val="none"/>
        </w:rPr>
      </w:pPr>
      <w:r>
        <w:rPr>
          <w:rFonts w:hint="eastAsia" w:ascii="宋体" w:hAnsi="宋体" w:cs="宋体"/>
          <w:b/>
          <w:bCs/>
          <w:sz w:val="24"/>
          <w:szCs w:val="24"/>
          <w:highlight w:val="none"/>
        </w:rPr>
        <w:t>第三条交货期、交货地点、图纸面积及发货数量的确认</w:t>
      </w:r>
    </w:p>
    <w:p>
      <w:pPr>
        <w:numPr>
          <w:ilvl w:val="0"/>
          <w:numId w:val="6"/>
        </w:numPr>
        <w:spacing w:line="400" w:lineRule="atLeast"/>
        <w:ind w:firstLine="480" w:firstLineChars="200"/>
        <w:rPr>
          <w:rFonts w:hint="eastAsia" w:ascii="宋体" w:hAnsi="宋体"/>
          <w:sz w:val="24"/>
          <w:highlight w:val="none"/>
        </w:rPr>
      </w:pPr>
      <w:r>
        <w:rPr>
          <w:rFonts w:hint="eastAsia" w:ascii="宋体" w:hAnsi="宋体"/>
          <w:bCs/>
          <w:sz w:val="24"/>
          <w:szCs w:val="24"/>
          <w:highlight w:val="none"/>
        </w:rPr>
        <w:t>自甲乙双方签订合同，甲方确定样品并给予正式备料清单尺寸后，乙方需在</w:t>
      </w:r>
      <w:r>
        <w:rPr>
          <w:rFonts w:hint="eastAsia" w:ascii="宋体" w:hAnsi="宋体"/>
          <w:bCs/>
          <w:sz w:val="24"/>
          <w:szCs w:val="24"/>
          <w:highlight w:val="none"/>
          <w:lang w:val="en-US" w:eastAsia="zh-CN"/>
        </w:rPr>
        <w:t>4</w:t>
      </w:r>
      <w:r>
        <w:rPr>
          <w:rFonts w:hint="eastAsia" w:ascii="宋体" w:hAnsi="宋体"/>
          <w:bCs/>
          <w:sz w:val="24"/>
          <w:szCs w:val="24"/>
          <w:highlight w:val="none"/>
        </w:rPr>
        <w:t>0天内完成</w:t>
      </w:r>
      <w:r>
        <w:rPr>
          <w:rFonts w:hint="eastAsia" w:ascii="宋体" w:hAnsi="宋体"/>
          <w:bCs/>
          <w:sz w:val="24"/>
          <w:szCs w:val="24"/>
          <w:highlight w:val="none"/>
          <w:lang w:eastAsia="zh-CN"/>
        </w:rPr>
        <w:t>并</w:t>
      </w:r>
      <w:r>
        <w:rPr>
          <w:rFonts w:hint="eastAsia" w:ascii="宋体" w:hAnsi="宋体"/>
          <w:sz w:val="24"/>
          <w:highlight w:val="none"/>
        </w:rPr>
        <w:t>交付所有阳极氧化铝板到甲方指定地点。甲方若有赶工需求，乙方需尽量配合。</w:t>
      </w:r>
      <w:r>
        <w:rPr>
          <w:rFonts w:hint="eastAsia" w:ascii="宋体" w:hAnsi="宋体"/>
          <w:color w:val="auto"/>
          <w:sz w:val="24"/>
          <w:highlight w:val="none"/>
        </w:rPr>
        <w:t>卷材开料甲方需提供整卷开料尺寸</w:t>
      </w:r>
      <w:r>
        <w:rPr>
          <w:rFonts w:hint="eastAsia" w:ascii="宋体" w:hAnsi="宋体"/>
          <w:color w:val="auto"/>
          <w:sz w:val="24"/>
          <w:highlight w:val="none"/>
          <w:lang w:eastAsia="zh-CN"/>
        </w:rPr>
        <w:t>，</w:t>
      </w:r>
      <w:r>
        <w:rPr>
          <w:rFonts w:hint="eastAsia" w:ascii="宋体" w:hAnsi="宋体"/>
          <w:color w:val="auto"/>
          <w:sz w:val="24"/>
          <w:highlight w:val="none"/>
        </w:rPr>
        <w:t>运输交货到甲方指定地点</w:t>
      </w:r>
      <w:r>
        <w:rPr>
          <w:rFonts w:hint="eastAsia" w:ascii="宋体" w:hAnsi="宋体"/>
          <w:sz w:val="24"/>
          <w:highlight w:val="none"/>
        </w:rPr>
        <w:t>。</w:t>
      </w:r>
      <w:r>
        <w:rPr>
          <w:rFonts w:hint="eastAsia" w:ascii="宋体" w:hAnsi="宋体"/>
          <w:sz w:val="24"/>
          <w:highlight w:val="green"/>
          <w:lang w:eastAsia="zh-CN"/>
        </w:rPr>
        <w:t>若超过发货次数，增加的运费由甲方承担。</w:t>
      </w:r>
    </w:p>
    <w:p>
      <w:pPr>
        <w:spacing w:line="400" w:lineRule="atLeast"/>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、乙方送货回单</w:t>
      </w:r>
      <w:r>
        <w:rPr>
          <w:rFonts w:hint="eastAsia" w:ascii="宋体" w:hAnsi="宋体" w:cs="宋体"/>
          <w:sz w:val="24"/>
          <w:szCs w:val="24"/>
          <w:highlight w:val="green"/>
        </w:rPr>
        <w:t>必须有甲方仓管员或者授权人签字和盖</w:t>
      </w:r>
      <w:r>
        <w:rPr>
          <w:rFonts w:hint="eastAsia" w:ascii="宋体" w:hAnsi="宋体" w:cs="宋体"/>
          <w:sz w:val="24"/>
          <w:szCs w:val="24"/>
          <w:highlight w:val="green"/>
          <w:lang w:eastAsia="zh-CN"/>
        </w:rPr>
        <w:t>加工厂</w:t>
      </w:r>
      <w:r>
        <w:rPr>
          <w:rFonts w:hint="eastAsia" w:ascii="宋体" w:hAnsi="宋体" w:cs="宋体"/>
          <w:sz w:val="24"/>
          <w:szCs w:val="24"/>
          <w:highlight w:val="green"/>
        </w:rPr>
        <w:t>章</w:t>
      </w:r>
      <w:r>
        <w:rPr>
          <w:rFonts w:hint="eastAsia" w:ascii="宋体" w:hAnsi="宋体" w:cs="宋体"/>
          <w:sz w:val="24"/>
          <w:szCs w:val="24"/>
          <w:highlight w:val="green"/>
          <w:lang w:val="en-US" w:eastAsia="zh-CN"/>
        </w:rPr>
        <w:t>或者报关数量（重量）</w:t>
      </w:r>
      <w:r>
        <w:rPr>
          <w:rFonts w:hint="eastAsia" w:ascii="宋体" w:hAnsi="宋体" w:cs="宋体"/>
          <w:sz w:val="24"/>
          <w:szCs w:val="24"/>
          <w:highlight w:val="green"/>
        </w:rPr>
        <w:t>方能作为结算凭据。</w:t>
      </w:r>
    </w:p>
    <w:p>
      <w:pPr>
        <w:autoSpaceDE w:val="0"/>
        <w:autoSpaceDN w:val="0"/>
        <w:adjustRightInd w:val="0"/>
        <w:spacing w:line="400" w:lineRule="atLeast"/>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、图纸面积及发货数量的确认：</w:t>
      </w:r>
    </w:p>
    <w:p>
      <w:pPr>
        <w:spacing w:line="40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1)订单面积确认：甲方下单后，乙方在收到开料订单及开料尺寸后</w:t>
      </w:r>
      <w:r>
        <w:rPr>
          <w:rFonts w:hint="eastAsia" w:ascii="宋体" w:hAnsi="宋体" w:cs="宋体"/>
          <w:sz w:val="24"/>
          <w:szCs w:val="24"/>
          <w:highlight w:val="none"/>
          <w:lang w:val="en-US" w:eastAsia="zh-CN"/>
        </w:rPr>
        <w:t>2</w:t>
      </w:r>
      <w:r>
        <w:rPr>
          <w:rFonts w:hint="eastAsia" w:ascii="宋体" w:hAnsi="宋体" w:cs="宋体"/>
          <w:sz w:val="24"/>
          <w:szCs w:val="24"/>
          <w:highlight w:val="none"/>
        </w:rPr>
        <w:t>日内反馈每批订单面积的计算过程和具体数量，甲方收悉后在</w:t>
      </w:r>
      <w:r>
        <w:rPr>
          <w:rFonts w:hint="eastAsia" w:ascii="宋体" w:hAnsi="宋体" w:cs="宋体"/>
          <w:sz w:val="24"/>
          <w:szCs w:val="24"/>
          <w:highlight w:val="none"/>
          <w:lang w:val="en-US" w:eastAsia="zh-CN"/>
        </w:rPr>
        <w:t>2日</w:t>
      </w:r>
      <w:r>
        <w:rPr>
          <w:rFonts w:hint="eastAsia" w:ascii="宋体" w:hAnsi="宋体" w:cs="宋体"/>
          <w:sz w:val="24"/>
          <w:szCs w:val="24"/>
          <w:highlight w:val="none"/>
        </w:rPr>
        <w:t>内将结果确认并反馈，乙方收到甲方确认的反馈结果后将在开料完毕后按双方确认的面积列入发货清单后安排发货。双方确认面积的时间已包含在总的开料周期内，乙方不得以甲方没有及时确认为由延长交货时间。如由于甲方开料尺寸错误，甲方未及时反馈，则交货期顺延。</w:t>
      </w:r>
    </w:p>
    <w:p>
      <w:pPr>
        <w:spacing w:line="40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2)发货数量确认：每批发货当日内，乙方将发货单扫描至（同时发送发货单电子文档）甲方采购部，由甲方采购部负责督促驻厂</w:t>
      </w:r>
      <w:r>
        <w:rPr>
          <w:rFonts w:hint="eastAsia" w:ascii="宋体" w:hAnsi="宋体" w:cs="宋体"/>
          <w:sz w:val="24"/>
          <w:szCs w:val="24"/>
          <w:highlight w:val="none"/>
          <w:lang w:eastAsia="zh-CN"/>
        </w:rPr>
        <w:t>质检员</w:t>
      </w:r>
      <w:r>
        <w:rPr>
          <w:rFonts w:hint="eastAsia" w:ascii="宋体" w:hAnsi="宋体" w:cs="宋体"/>
          <w:sz w:val="24"/>
          <w:szCs w:val="24"/>
          <w:highlight w:val="none"/>
        </w:rPr>
        <w:t>对该批货物的数量、件数、外观质量进行初步验收，并将</w:t>
      </w:r>
      <w:r>
        <w:rPr>
          <w:rFonts w:hint="eastAsia" w:ascii="宋体" w:hAnsi="宋体" w:cs="宋体"/>
          <w:sz w:val="24"/>
          <w:szCs w:val="24"/>
          <w:highlight w:val="none"/>
          <w:lang w:eastAsia="zh-CN"/>
        </w:rPr>
        <w:t>乙方</w:t>
      </w:r>
      <w:r>
        <w:rPr>
          <w:rFonts w:hint="eastAsia" w:ascii="宋体" w:hAnsi="宋体" w:cs="宋体"/>
          <w:sz w:val="24"/>
          <w:szCs w:val="24"/>
          <w:highlight w:val="none"/>
        </w:rPr>
        <w:t>签收的相关验收单据原件寄回甲方采购部核对并办理结算。</w:t>
      </w:r>
    </w:p>
    <w:p>
      <w:pPr>
        <w:spacing w:line="400" w:lineRule="atLeast"/>
        <w:rPr>
          <w:rFonts w:ascii="宋体"/>
          <w:sz w:val="24"/>
          <w:szCs w:val="24"/>
          <w:highlight w:val="none"/>
        </w:rPr>
      </w:pPr>
      <w:r>
        <w:rPr>
          <w:rFonts w:hint="eastAsia" w:ascii="宋体" w:hAnsi="宋体" w:cs="宋体"/>
          <w:b/>
          <w:bCs/>
          <w:sz w:val="24"/>
          <w:szCs w:val="24"/>
          <w:highlight w:val="none"/>
        </w:rPr>
        <w:t>第四条验收</w:t>
      </w:r>
    </w:p>
    <w:p>
      <w:pPr>
        <w:autoSpaceDE w:val="0"/>
        <w:autoSpaceDN w:val="0"/>
        <w:adjustRightInd w:val="0"/>
        <w:spacing w:line="400" w:lineRule="atLeast"/>
        <w:ind w:firstLine="480" w:firstLineChars="200"/>
        <w:rPr>
          <w:rFonts w:ascii="宋体"/>
          <w:sz w:val="24"/>
          <w:szCs w:val="24"/>
          <w:highlight w:val="none"/>
        </w:rPr>
      </w:pPr>
      <w:r>
        <w:rPr>
          <w:rFonts w:hint="eastAsia" w:ascii="宋体" w:hAnsi="宋体" w:cs="宋体"/>
          <w:sz w:val="24"/>
          <w:szCs w:val="24"/>
          <w:highlight w:val="none"/>
        </w:rPr>
        <w:t>1、验收时间：甲方收货时应对乙方所交货物的数量、件数、外观、外观颜色进行初步验收，若有异议应在签收货物时写明异议内容。若甲方在收货后到质保期结束的这段期间内发现乙方提供的产品存在任何质量问题（成型加工及安装造成的除外），有权要求乙方退换货或扣除相应的货款。</w:t>
      </w:r>
    </w:p>
    <w:p>
      <w:pPr>
        <w:autoSpaceDE w:val="0"/>
        <w:autoSpaceDN w:val="0"/>
        <w:adjustRightInd w:val="0"/>
        <w:spacing w:line="400" w:lineRule="atLeast"/>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、验收方式：由甲方品质部人员进行验收并按照封样、国家标准</w:t>
      </w:r>
      <w:r>
        <w:rPr>
          <w:rFonts w:hint="eastAsia" w:ascii="宋体" w:hAnsi="宋体" w:cs="宋体"/>
          <w:sz w:val="24"/>
          <w:szCs w:val="24"/>
          <w:highlight w:val="none"/>
          <w:lang w:eastAsia="zh-CN"/>
        </w:rPr>
        <w:t>、合同约定</w:t>
      </w:r>
      <w:r>
        <w:rPr>
          <w:rFonts w:hint="eastAsia" w:ascii="宋体" w:hAnsi="宋体" w:cs="宋体"/>
          <w:sz w:val="24"/>
          <w:szCs w:val="24"/>
          <w:highlight w:val="none"/>
        </w:rPr>
        <w:t>进行检验。</w:t>
      </w:r>
    </w:p>
    <w:p>
      <w:pPr>
        <w:autoSpaceDE w:val="0"/>
        <w:autoSpaceDN w:val="0"/>
        <w:adjustRightInd w:val="0"/>
        <w:spacing w:line="400" w:lineRule="atLeast"/>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、验收如发生争议，由国家检验机构按国家检验标准和方法，对产品进行检验。</w:t>
      </w:r>
    </w:p>
    <w:p>
      <w:pPr>
        <w:autoSpaceDE w:val="0"/>
        <w:autoSpaceDN w:val="0"/>
        <w:adjustRightInd w:val="0"/>
        <w:spacing w:line="400" w:lineRule="atLeast"/>
        <w:ind w:firstLine="480" w:firstLineChars="200"/>
        <w:rPr>
          <w:rFonts w:ascii="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、货到验收期间，乙方必须提供该批产品的生产厂家产品质量合格证明资料（交付最后一批货物时还应提供本合同项下全部产品</w:t>
      </w:r>
      <w:r>
        <w:rPr>
          <w:rFonts w:hint="eastAsia" w:ascii="宋体" w:hAnsi="宋体" w:cs="宋体"/>
          <w:sz w:val="24"/>
          <w:szCs w:val="24"/>
          <w:highlight w:val="none"/>
          <w:lang w:val="en-US" w:eastAsia="zh-CN"/>
        </w:rPr>
        <w:t>二</w:t>
      </w:r>
      <w:r>
        <w:rPr>
          <w:rFonts w:hint="eastAsia" w:ascii="宋体" w:hAnsi="宋体" w:cs="宋体"/>
          <w:sz w:val="24"/>
          <w:szCs w:val="24"/>
          <w:highlight w:val="none"/>
        </w:rPr>
        <w:t>十年质量保证书）、原材料材质证明书等，作为甲方检验、付款条件之一。</w:t>
      </w:r>
    </w:p>
    <w:p>
      <w:pPr>
        <w:autoSpaceDE w:val="0"/>
        <w:autoSpaceDN w:val="0"/>
        <w:adjustRightInd w:val="0"/>
        <w:spacing w:line="400" w:lineRule="atLeast"/>
        <w:ind w:firstLine="480" w:firstLineChars="200"/>
        <w:rPr>
          <w:rFonts w:ascii="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、甲方对乙方产品所进行的验收，并不能免除乙方对所提供产品应承担的质量责任。</w:t>
      </w:r>
    </w:p>
    <w:p>
      <w:pPr>
        <w:autoSpaceDE w:val="0"/>
        <w:autoSpaceDN w:val="0"/>
        <w:adjustRightInd w:val="0"/>
        <w:spacing w:line="400" w:lineRule="atLeast"/>
        <w:ind w:firstLine="480" w:firstLineChars="200"/>
        <w:rPr>
          <w:rFonts w:ascii="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、乙方提供的送货单中每项材料必须注明产品名称、材料编号、规格、数量、下料单号、工艺图号、面积等。</w:t>
      </w:r>
    </w:p>
    <w:p>
      <w:pPr>
        <w:autoSpaceDE w:val="0"/>
        <w:autoSpaceDN w:val="0"/>
        <w:adjustRightInd w:val="0"/>
        <w:spacing w:line="400" w:lineRule="atLeast"/>
        <w:ind w:firstLine="480" w:firstLineChars="200"/>
        <w:rPr>
          <w:rFonts w:ascii="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、若乙方提供的材料厚度不符合本合同第二条质量要求和技术标准所述内容，甲方有权要求退货直至更换成合格产品。</w:t>
      </w:r>
    </w:p>
    <w:p>
      <w:pPr>
        <w:spacing w:line="380" w:lineRule="exact"/>
        <w:ind w:firstLine="480" w:firstLineChars="200"/>
        <w:rPr>
          <w:rFonts w:hint="eastAsia" w:ascii="宋体" w:hAns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在质保期内，甲方同该项目业主或总包的最终验收证明不视为乙方产品自身质量必然合格的证明，也不视为甲方当然免除乙方已存在产品自身质量问题产品的责任，且该等质量问题在质保期内，甲方均有权依据合同继续向乙方主张相关权益，乙方应继续按照合同约定履行整改、维修、更换、赔偿等责任。</w:t>
      </w:r>
    </w:p>
    <w:p>
      <w:pPr>
        <w:spacing w:line="400" w:lineRule="atLeast"/>
        <w:rPr>
          <w:rFonts w:ascii="宋体"/>
          <w:b/>
          <w:bCs/>
          <w:sz w:val="24"/>
          <w:szCs w:val="24"/>
          <w:highlight w:val="none"/>
        </w:rPr>
      </w:pPr>
      <w:r>
        <w:rPr>
          <w:rFonts w:hint="eastAsia" w:ascii="宋体" w:hAnsi="宋体" w:cs="宋体"/>
          <w:b/>
          <w:bCs/>
          <w:sz w:val="24"/>
          <w:szCs w:val="24"/>
          <w:highlight w:val="none"/>
        </w:rPr>
        <w:t>第五条结算方式</w:t>
      </w:r>
    </w:p>
    <w:p>
      <w:pPr>
        <w:spacing w:line="400" w:lineRule="atLeast"/>
        <w:ind w:firstLine="480" w:firstLineChars="200"/>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、批次结算条款</w:t>
      </w:r>
    </w:p>
    <w:p>
      <w:pPr>
        <w:spacing w:line="400" w:lineRule="atLeast"/>
        <w:ind w:firstLine="480" w:firstLineChars="200"/>
        <w:rPr>
          <w:rFonts w:ascii="宋体"/>
          <w:sz w:val="24"/>
          <w:szCs w:val="24"/>
          <w:highlight w:val="none"/>
        </w:rPr>
      </w:pPr>
      <w:r>
        <w:rPr>
          <w:rFonts w:hint="eastAsia" w:ascii="宋体" w:hAnsi="宋体" w:cs="宋体"/>
          <w:sz w:val="24"/>
          <w:szCs w:val="24"/>
          <w:highlight w:val="none"/>
        </w:rPr>
        <w:t>乙方提供的每批次产品在货款批次结算时，乙方提供批次结算单及送货单。乙方送货单由甲方组织材料员、质检员共同签名和加盖工厂收货章后寄往甲方采购部（若送货到工地则由材料员、质检员、项目经理共同签名和加盖项目部章后寄往甲方采购部），由甲方</w:t>
      </w:r>
      <w:r>
        <w:rPr>
          <w:rFonts w:hint="eastAsia" w:ascii="宋体" w:hAnsi="宋体" w:cs="宋体"/>
          <w:sz w:val="24"/>
          <w:szCs w:val="24"/>
          <w:highlight w:val="none"/>
          <w:lang w:eastAsia="zh-CN"/>
        </w:rPr>
        <w:t>采购</w:t>
      </w:r>
      <w:r>
        <w:rPr>
          <w:rFonts w:hint="eastAsia" w:ascii="宋体" w:hAnsi="宋体" w:cs="宋体"/>
          <w:sz w:val="24"/>
          <w:szCs w:val="24"/>
          <w:highlight w:val="none"/>
        </w:rPr>
        <w:t>部按照甲方确认的图纸对验收数量进行审核，审核后的数量作为本批次付款依据。结算单上必须注明产品名称、规格、数量、单价、金额、下料单号、工艺图号以便双方进行核对。同时乙方若未按照合同约定提供产品质量合格证、检测报告等质量合格证明文件以及按照合同约定提供发票，甲方有权顺延办理批次结算付款手续，直至乙方提供上述资料。本条款约定的上述资料（包括送货单、结算单、质量合格证、检测报告、发票等）是甲方付款的前置条款，乙方若无法提供或提供不齐全，甲方有权拒不付款且不视为违约。</w:t>
      </w:r>
    </w:p>
    <w:p>
      <w:pPr>
        <w:spacing w:line="400" w:lineRule="atLeast"/>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、最终结算条款</w:t>
      </w:r>
    </w:p>
    <w:p>
      <w:pPr>
        <w:spacing w:line="400" w:lineRule="atLeast"/>
        <w:ind w:firstLine="480" w:firstLineChars="200"/>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）甲乙双方确认，本合同的最终结算金额不是乙方所提供批次结算单的累加。乙方需提交符合甲方要求的书面最终结算单、所有批次结算单、</w:t>
      </w:r>
      <w:r>
        <w:rPr>
          <w:rFonts w:hint="eastAsia" w:ascii="宋体" w:hAnsi="宋体"/>
          <w:bCs/>
          <w:sz w:val="24"/>
          <w:szCs w:val="24"/>
          <w:highlight w:val="none"/>
        </w:rPr>
        <w:t>甲方书面签收的送货单、</w:t>
      </w:r>
      <w:r>
        <w:rPr>
          <w:rFonts w:hint="eastAsia" w:ascii="宋体" w:hAnsi="宋体" w:cs="宋体"/>
          <w:sz w:val="24"/>
          <w:szCs w:val="24"/>
          <w:highlight w:val="none"/>
        </w:rPr>
        <w:t>质量合格证、检测报告、发票等全部资料供甲方成本部进行书面审核，甲方有权在扣除按照合同约定乙方应支付的质量和工期违约金及罚款后，双方书面盖章确定最终结算金额。</w:t>
      </w:r>
    </w:p>
    <w:p>
      <w:pPr>
        <w:spacing w:line="440" w:lineRule="atLeast"/>
        <w:ind w:firstLine="480" w:firstLineChars="200"/>
        <w:rPr>
          <w:rFonts w:hint="eastAsia"/>
          <w:sz w:val="24"/>
          <w:szCs w:val="24"/>
          <w:highlight w:val="none"/>
        </w:rPr>
      </w:pPr>
      <w:r>
        <w:rPr>
          <w:rFonts w:hint="eastAsia"/>
          <w:sz w:val="24"/>
          <w:szCs w:val="24"/>
          <w:highlight w:val="none"/>
        </w:rPr>
        <w:t>2）乙方同意载有甲方指定加工厂收货人、质检、采购等人员签字或盖有采购部等印章的签证单、送货单等资料是甲方对乙方供货的初步验收，乙方不得仅凭前述材料向甲方主张支付货款；最终合同结算金额仅由双方成本部根据本合同结算条款进行书面审核并加盖双方公章方可确定。</w:t>
      </w:r>
    </w:p>
    <w:p>
      <w:pPr>
        <w:spacing w:line="440" w:lineRule="atLeast"/>
        <w:rPr>
          <w:rFonts w:ascii="宋体"/>
          <w:b/>
          <w:bCs/>
          <w:sz w:val="24"/>
          <w:szCs w:val="24"/>
          <w:highlight w:val="none"/>
        </w:rPr>
      </w:pPr>
      <w:r>
        <w:rPr>
          <w:rFonts w:hint="eastAsia" w:ascii="宋体" w:hAnsi="宋体" w:cs="宋体"/>
          <w:b/>
          <w:bCs/>
          <w:sz w:val="24"/>
          <w:szCs w:val="24"/>
          <w:highlight w:val="none"/>
        </w:rPr>
        <w:t>第六条付款方式</w:t>
      </w:r>
    </w:p>
    <w:p>
      <w:pPr>
        <w:spacing w:line="440" w:lineRule="atLeast"/>
        <w:ind w:firstLine="480" w:firstLineChars="200"/>
        <w:textAlignment w:val="baseline"/>
        <w:rPr>
          <w:rFonts w:hint="eastAsia" w:ascii="宋体" w:eastAsia="宋体"/>
          <w:sz w:val="24"/>
          <w:szCs w:val="24"/>
          <w:highlight w:val="green"/>
          <w:lang w:val="en-US" w:eastAsia="zh-CN"/>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green"/>
          <w:lang w:eastAsia="zh-CN"/>
        </w:rPr>
        <w:t>无预付款，按批次结算。</w:t>
      </w:r>
      <w:r>
        <w:rPr>
          <w:rFonts w:hint="eastAsia" w:ascii="宋体" w:hAnsi="宋体" w:cs="宋体"/>
          <w:sz w:val="24"/>
          <w:szCs w:val="24"/>
          <w:highlight w:val="green"/>
          <w:lang w:val="zh-CN"/>
        </w:rPr>
        <w:t>货到</w:t>
      </w:r>
      <w:r>
        <w:rPr>
          <w:rFonts w:hint="eastAsia" w:ascii="宋体" w:hAnsi="宋体" w:cs="宋体"/>
          <w:sz w:val="24"/>
          <w:szCs w:val="24"/>
          <w:highlight w:val="green"/>
          <w:lang w:val="en-US" w:eastAsia="zh-CN"/>
        </w:rPr>
        <w:t>7个工作日付款，</w:t>
      </w:r>
      <w:r>
        <w:rPr>
          <w:rFonts w:hint="eastAsia" w:ascii="宋体" w:hAnsi="宋体" w:cs="宋体"/>
          <w:sz w:val="24"/>
          <w:szCs w:val="24"/>
          <w:highlight w:val="green"/>
          <w:lang w:val="zh-CN"/>
        </w:rPr>
        <w:t>每批支付该批货款的</w:t>
      </w:r>
      <w:r>
        <w:rPr>
          <w:rFonts w:hint="eastAsia" w:ascii="宋体" w:hAnsi="宋体" w:cs="宋体"/>
          <w:sz w:val="24"/>
          <w:szCs w:val="24"/>
          <w:highlight w:val="green"/>
          <w:lang w:val="en-US" w:eastAsia="zh-CN"/>
        </w:rPr>
        <w:t>90</w:t>
      </w:r>
      <w:r>
        <w:rPr>
          <w:rFonts w:hint="eastAsia" w:ascii="宋体" w:hAnsi="宋体" w:cs="宋体"/>
          <w:sz w:val="24"/>
          <w:szCs w:val="24"/>
          <w:highlight w:val="green"/>
          <w:lang w:val="zh-CN"/>
        </w:rPr>
        <w:t>%。</w:t>
      </w:r>
      <w:r>
        <w:rPr>
          <w:rFonts w:hint="eastAsia" w:ascii="宋体" w:hAnsi="宋体" w:cs="宋体"/>
          <w:sz w:val="24"/>
          <w:szCs w:val="24"/>
          <w:highlight w:val="green"/>
        </w:rPr>
        <w:t>余</w:t>
      </w:r>
      <w:r>
        <w:rPr>
          <w:rFonts w:hint="eastAsia" w:ascii="宋体" w:hAnsi="宋体" w:cs="宋体"/>
          <w:sz w:val="24"/>
          <w:szCs w:val="24"/>
          <w:highlight w:val="green"/>
          <w:lang w:val="en-US" w:eastAsia="zh-CN"/>
        </w:rPr>
        <w:t>10</w:t>
      </w:r>
      <w:r>
        <w:rPr>
          <w:rFonts w:hint="eastAsia" w:ascii="宋体" w:hAnsi="宋体" w:cs="宋体"/>
          <w:sz w:val="24"/>
          <w:szCs w:val="24"/>
          <w:highlight w:val="green"/>
        </w:rPr>
        <w:t>%作为质量保证金，质保期1年，期满后90天内无息支付。</w:t>
      </w:r>
    </w:p>
    <w:p>
      <w:pPr>
        <w:autoSpaceDE w:val="0"/>
        <w:autoSpaceDN w:val="0"/>
        <w:adjustRightInd w:val="0"/>
        <w:spacing w:line="440" w:lineRule="atLeast"/>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、付款方式：</w:t>
      </w:r>
      <w:r>
        <w:rPr>
          <w:rFonts w:ascii="宋体" w:hAnsi="宋体" w:cs="宋体"/>
          <w:sz w:val="24"/>
          <w:szCs w:val="24"/>
          <w:highlight w:val="none"/>
        </w:rPr>
        <w:t>6</w:t>
      </w:r>
      <w:r>
        <w:rPr>
          <w:rFonts w:hint="eastAsia" w:ascii="宋体" w:hAnsi="宋体" w:cs="宋体"/>
          <w:sz w:val="24"/>
          <w:szCs w:val="24"/>
          <w:highlight w:val="none"/>
        </w:rPr>
        <w:t>个月银行承兑。</w:t>
      </w:r>
    </w:p>
    <w:p>
      <w:pPr>
        <w:numPr>
          <w:ilvl w:val="0"/>
          <w:numId w:val="7"/>
        </w:numPr>
        <w:autoSpaceDE w:val="0"/>
        <w:autoSpaceDN w:val="0"/>
        <w:adjustRightInd w:val="0"/>
        <w:spacing w:line="440" w:lineRule="atLeast"/>
        <w:ind w:firstLine="480" w:firstLineChars="200"/>
        <w:rPr>
          <w:rFonts w:ascii="宋体"/>
          <w:sz w:val="21"/>
          <w:szCs w:val="21"/>
          <w:highlight w:val="none"/>
        </w:rPr>
      </w:pPr>
      <w:r>
        <w:rPr>
          <w:rFonts w:hint="eastAsia" w:ascii="宋体" w:hAnsi="宋体" w:cs="宋体"/>
          <w:sz w:val="24"/>
          <w:szCs w:val="24"/>
          <w:highlight w:val="none"/>
          <w:lang w:val="zh-CN"/>
        </w:rPr>
        <w:t>甲乙双方同意并确认：若合同履行过程中遇到国家相关税率发生变化，则</w:t>
      </w:r>
      <w:r>
        <w:rPr>
          <w:rFonts w:hint="eastAsia" w:ascii="宋体" w:hAnsi="宋体" w:cs="宋体"/>
          <w:sz w:val="24"/>
          <w:szCs w:val="24"/>
          <w:highlight w:val="none"/>
        </w:rPr>
        <w:t>合同约定的税金、含税单价及合同金额应按调整后税率进行变更</w:t>
      </w:r>
      <w:r>
        <w:rPr>
          <w:rFonts w:ascii="宋体" w:cs="宋体"/>
          <w:sz w:val="24"/>
          <w:szCs w:val="24"/>
          <w:highlight w:val="none"/>
          <w:lang w:val="zh-CN"/>
        </w:rPr>
        <w:t>,</w:t>
      </w:r>
      <w:r>
        <w:rPr>
          <w:rFonts w:hint="eastAsia" w:ascii="宋体" w:hAnsi="宋体" w:cs="宋体"/>
          <w:sz w:val="24"/>
          <w:szCs w:val="24"/>
          <w:highlight w:val="none"/>
        </w:rPr>
        <w:t>不含税价格不变；乙方应严格按照业务的实际纳税义务发生时间开具对应税率的发票，其中纳税义务发生时间在税率变化前的适用原税率，纳税义务发生时间在税率变化后的适用新税率。</w:t>
      </w:r>
    </w:p>
    <w:p>
      <w:pPr>
        <w:numPr>
          <w:ilvl w:val="0"/>
          <w:numId w:val="7"/>
        </w:numPr>
        <w:autoSpaceDE w:val="0"/>
        <w:autoSpaceDN w:val="0"/>
        <w:adjustRightInd w:val="0"/>
        <w:spacing w:line="440" w:lineRule="atLeast"/>
        <w:ind w:firstLine="480" w:firstLineChars="200"/>
        <w:rPr>
          <w:rFonts w:ascii="宋体"/>
          <w:sz w:val="24"/>
          <w:szCs w:val="24"/>
          <w:highlight w:val="none"/>
        </w:rPr>
      </w:pPr>
      <w:r>
        <w:rPr>
          <w:rFonts w:hint="eastAsia" w:ascii="宋体" w:hAnsi="宋体" w:cs="宋体"/>
          <w:sz w:val="24"/>
          <w:szCs w:val="24"/>
          <w:highlight w:val="none"/>
          <w:lang w:val="zh-CN"/>
        </w:rPr>
        <w:t>乙方必须提供合法、有效的税务发票；若提供虚假发票而给甲方造成损失的，乙方将承担由此给甲方造成的全部损失，且甲方有权停止支付与其有关的全部款项，直至给甲方造成的损失全部得到弥补为止；若乙方提供虚假发票，一经发现，应立即无条件更换合法、有效发票；无论是否给甲方造成损失，甲方有权停止支付与虚假发票有关的工程全部款项，且乙方自动放弃追索。</w:t>
      </w:r>
    </w:p>
    <w:p>
      <w:pPr>
        <w:spacing w:line="400" w:lineRule="atLeast"/>
        <w:ind w:left="-315" w:leftChars="-150" w:right="-286" w:rightChars="-136"/>
        <w:rPr>
          <w:rFonts w:ascii="宋体"/>
          <w:sz w:val="24"/>
          <w:szCs w:val="24"/>
          <w:highlight w:val="none"/>
        </w:rPr>
      </w:pPr>
      <w:r>
        <w:rPr>
          <w:rFonts w:hint="eastAsia" w:ascii="宋体" w:hAnsi="宋体" w:cs="宋体"/>
          <w:b/>
          <w:bCs/>
          <w:sz w:val="24"/>
          <w:szCs w:val="24"/>
          <w:highlight w:val="none"/>
        </w:rPr>
        <w:t>第七条包装</w:t>
      </w:r>
    </w:p>
    <w:p>
      <w:pPr>
        <w:pStyle w:val="2"/>
        <w:ind w:firstLine="480" w:firstLineChars="200"/>
        <w:rPr>
          <w:rFonts w:hint="eastAsia" w:ascii="宋体" w:hAnsi="宋体" w:cs="宋体"/>
          <w:sz w:val="24"/>
          <w:szCs w:val="24"/>
          <w:highlight w:val="none"/>
        </w:rPr>
      </w:pPr>
      <w:r>
        <w:rPr>
          <w:rFonts w:hint="eastAsia" w:ascii="宋体" w:hAnsi="宋体" w:cs="宋体"/>
          <w:sz w:val="24"/>
          <w:szCs w:val="24"/>
          <w:highlight w:val="none"/>
        </w:rPr>
        <w:t>乙方负责将制成品包装（</w:t>
      </w:r>
      <w:r>
        <w:rPr>
          <w:rFonts w:hint="eastAsia" w:ascii="宋体" w:hAnsi="宋体"/>
          <w:sz w:val="24"/>
          <w:highlight w:val="none"/>
        </w:rPr>
        <w:t>铝板氧化面贴保护膜</w:t>
      </w:r>
      <w:r>
        <w:rPr>
          <w:rFonts w:hint="eastAsia" w:ascii="宋体" w:hAnsi="宋体" w:cs="宋体"/>
          <w:sz w:val="24"/>
          <w:szCs w:val="24"/>
          <w:highlight w:val="none"/>
        </w:rPr>
        <w:t>）</w:t>
      </w:r>
      <w:r>
        <w:rPr>
          <w:rFonts w:hint="eastAsia" w:ascii="宋体" w:hAnsi="宋体" w:cs="宋体"/>
          <w:sz w:val="24"/>
          <w:szCs w:val="24"/>
          <w:highlight w:val="none"/>
          <w:lang w:eastAsia="zh-CN"/>
        </w:rPr>
        <w:t>木箱加托盘</w:t>
      </w:r>
      <w:r>
        <w:rPr>
          <w:rFonts w:hint="eastAsia" w:ascii="宋体" w:hAnsi="宋体" w:cs="宋体"/>
          <w:sz w:val="24"/>
          <w:szCs w:val="24"/>
          <w:highlight w:val="none"/>
        </w:rPr>
        <w:t>并运到甲方</w:t>
      </w:r>
      <w:r>
        <w:rPr>
          <w:rFonts w:hint="eastAsia" w:ascii="宋体" w:hAnsi="宋体" w:cs="宋体"/>
          <w:sz w:val="24"/>
          <w:szCs w:val="24"/>
          <w:highlight w:val="none"/>
          <w:u w:val="single"/>
          <w:lang w:eastAsia="zh-CN"/>
        </w:rPr>
        <w:t>指定交货地点</w:t>
      </w:r>
      <w:r>
        <w:rPr>
          <w:rFonts w:hint="eastAsia" w:ascii="宋体" w:hAnsi="宋体" w:cs="宋体"/>
          <w:sz w:val="24"/>
          <w:szCs w:val="24"/>
          <w:highlight w:val="none"/>
        </w:rPr>
        <w:t>。因包装不良所造成的损坏、灭失由乙方承担。</w:t>
      </w:r>
    </w:p>
    <w:p>
      <w:pPr>
        <w:tabs>
          <w:tab w:val="left" w:pos="1080"/>
        </w:tabs>
        <w:spacing w:line="400" w:lineRule="atLeast"/>
        <w:ind w:left="-313" w:right="-286" w:rightChars="-136"/>
        <w:rPr>
          <w:rFonts w:ascii="宋体"/>
          <w:b/>
          <w:bCs/>
          <w:sz w:val="24"/>
          <w:szCs w:val="24"/>
          <w:highlight w:val="none"/>
        </w:rPr>
      </w:pPr>
      <w:r>
        <w:rPr>
          <w:rFonts w:hint="eastAsia" w:ascii="宋体" w:hAnsi="宋体" w:cs="宋体"/>
          <w:b/>
          <w:bCs/>
          <w:sz w:val="24"/>
          <w:szCs w:val="24"/>
          <w:highlight w:val="none"/>
        </w:rPr>
        <w:t>第八条双方责任</w:t>
      </w:r>
    </w:p>
    <w:p>
      <w:pPr>
        <w:spacing w:line="360" w:lineRule="auto"/>
        <w:textAlignment w:val="baseline"/>
        <w:rPr>
          <w:rFonts w:ascii="宋体"/>
          <w:sz w:val="24"/>
          <w:szCs w:val="24"/>
          <w:highlight w:val="none"/>
          <w:lang w:val="zh-CN"/>
        </w:rPr>
      </w:pPr>
      <w:r>
        <w:rPr>
          <w:rFonts w:ascii="宋体" w:hAnsi="宋体" w:cs="宋体"/>
          <w:sz w:val="24"/>
          <w:szCs w:val="24"/>
          <w:highlight w:val="none"/>
        </w:rPr>
        <w:t>1</w:t>
      </w:r>
      <w:r>
        <w:rPr>
          <w:rFonts w:hint="eastAsia" w:ascii="宋体" w:hAnsi="宋体" w:cs="宋体"/>
          <w:b/>
          <w:bCs/>
          <w:sz w:val="24"/>
          <w:szCs w:val="24"/>
          <w:highlight w:val="none"/>
        </w:rPr>
        <w:t>、</w:t>
      </w:r>
      <w:r>
        <w:rPr>
          <w:rFonts w:hint="eastAsia" w:ascii="宋体" w:hAnsi="宋体" w:cs="宋体"/>
          <w:sz w:val="24"/>
          <w:szCs w:val="24"/>
          <w:highlight w:val="none"/>
          <w:lang w:val="zh-CN"/>
        </w:rPr>
        <w:t>乙方逾期交货的，每日应向甲方支付逾期交货金额</w:t>
      </w:r>
      <w:r>
        <w:rPr>
          <w:rFonts w:ascii="宋体" w:hAnsi="宋体" w:cs="宋体"/>
          <w:sz w:val="24"/>
          <w:szCs w:val="24"/>
          <w:highlight w:val="none"/>
          <w:lang w:val="zh-CN"/>
        </w:rPr>
        <w:t>0.5</w:t>
      </w:r>
      <w:r>
        <w:rPr>
          <w:rFonts w:hint="eastAsia" w:ascii="宋体" w:hAnsi="宋体" w:cs="宋体"/>
          <w:sz w:val="24"/>
          <w:szCs w:val="24"/>
          <w:highlight w:val="none"/>
          <w:lang w:val="zh-CN"/>
        </w:rPr>
        <w:t>‰（万分之五）的违约金，违约金总额不超过合同总额的</w:t>
      </w:r>
      <w:r>
        <w:rPr>
          <w:rFonts w:ascii="宋体" w:hAnsi="宋体" w:cs="宋体"/>
          <w:sz w:val="24"/>
          <w:szCs w:val="24"/>
          <w:highlight w:val="none"/>
          <w:lang w:val="zh-CN"/>
        </w:rPr>
        <w:t>10%</w:t>
      </w:r>
      <w:r>
        <w:rPr>
          <w:rFonts w:hint="eastAsia" w:ascii="宋体" w:hAnsi="宋体" w:cs="宋体"/>
          <w:sz w:val="24"/>
          <w:szCs w:val="24"/>
          <w:highlight w:val="none"/>
          <w:lang w:val="zh-CN"/>
        </w:rPr>
        <w:t>。如逾期超过五日甲方有权终止合同并可就所造成的损失向乙方索赔。如不可抗力因素和甲方原因导致的逾期，则不在此列。</w:t>
      </w:r>
    </w:p>
    <w:p>
      <w:pPr>
        <w:spacing w:line="360" w:lineRule="auto"/>
        <w:textAlignment w:val="baseline"/>
        <w:rPr>
          <w:rFonts w:ascii="宋体"/>
          <w:sz w:val="24"/>
          <w:szCs w:val="24"/>
          <w:highlight w:val="none"/>
          <w:lang w:val="zh-CN"/>
        </w:rPr>
      </w:pPr>
      <w:r>
        <w:rPr>
          <w:rFonts w:ascii="宋体" w:hAnsi="宋体" w:cs="宋体"/>
          <w:sz w:val="24"/>
          <w:szCs w:val="24"/>
          <w:highlight w:val="none"/>
          <w:lang w:val="zh-CN"/>
        </w:rPr>
        <w:t>2</w:t>
      </w:r>
      <w:r>
        <w:rPr>
          <w:rFonts w:hint="eastAsia" w:ascii="宋体" w:hAnsi="宋体" w:cs="宋体"/>
          <w:sz w:val="24"/>
          <w:szCs w:val="24"/>
          <w:highlight w:val="none"/>
          <w:lang w:val="zh-CN"/>
        </w:rPr>
        <w:t>、</w:t>
      </w:r>
      <w:r>
        <w:rPr>
          <w:rFonts w:hint="eastAsia" w:ascii="宋体" w:hAnsi="宋体" w:cs="宋体"/>
          <w:sz w:val="24"/>
          <w:szCs w:val="24"/>
          <w:highlight w:val="none"/>
        </w:rPr>
        <w:t>因甲方提供的订单（含下料单、工艺图）错误而造成的损失应由甲方负责。因甲方未及时提供下料单及工艺图造成的工期延误应由甲方负责，乙方的交货期可顺延。</w:t>
      </w:r>
      <w:r>
        <w:rPr>
          <w:rFonts w:hint="eastAsia" w:ascii="宋体" w:hAnsi="宋体" w:cs="宋体"/>
          <w:sz w:val="24"/>
          <w:szCs w:val="24"/>
          <w:highlight w:val="none"/>
          <w:lang w:val="zh-CN"/>
        </w:rPr>
        <w:t>如甲方未能及时支付货款，每日应向乙方支付应付货款金额</w:t>
      </w:r>
      <w:r>
        <w:rPr>
          <w:rFonts w:ascii="宋体" w:hAnsi="宋体" w:cs="宋体"/>
          <w:sz w:val="24"/>
          <w:szCs w:val="24"/>
          <w:highlight w:val="none"/>
          <w:lang w:val="zh-CN"/>
        </w:rPr>
        <w:t>0.5</w:t>
      </w:r>
      <w:r>
        <w:rPr>
          <w:rFonts w:hint="eastAsia" w:ascii="宋体" w:hAnsi="宋体" w:cs="宋体"/>
          <w:sz w:val="24"/>
          <w:szCs w:val="24"/>
          <w:highlight w:val="none"/>
          <w:lang w:val="zh-CN"/>
        </w:rPr>
        <w:t>‰（万分之五）的违约金，违约金总额不超过应付未付货款总额的</w:t>
      </w:r>
      <w:r>
        <w:rPr>
          <w:rFonts w:ascii="宋体" w:hAnsi="宋体" w:cs="宋体"/>
          <w:sz w:val="24"/>
          <w:szCs w:val="24"/>
          <w:highlight w:val="none"/>
          <w:lang w:val="zh-CN"/>
        </w:rPr>
        <w:t>10%</w:t>
      </w:r>
      <w:r>
        <w:rPr>
          <w:rFonts w:hint="eastAsia" w:ascii="宋体" w:hAnsi="宋体" w:cs="宋体"/>
          <w:sz w:val="24"/>
          <w:szCs w:val="24"/>
          <w:highlight w:val="none"/>
          <w:lang w:val="zh-CN"/>
        </w:rPr>
        <w:t>。如逾期超过十五日，乙方有权终止合同并可就所造成的损失向甲方索赔。如不可抗力因素和乙方原因导致的逾期，则不在此列。</w:t>
      </w:r>
    </w:p>
    <w:p>
      <w:pPr>
        <w:autoSpaceDE w:val="0"/>
        <w:autoSpaceDN w:val="0"/>
        <w:adjustRightInd w:val="0"/>
        <w:spacing w:line="360" w:lineRule="auto"/>
        <w:rPr>
          <w:rFonts w:ascii="宋体"/>
          <w:sz w:val="24"/>
          <w:szCs w:val="24"/>
          <w:highlight w:val="none"/>
          <w:lang w:val="zh-CN"/>
        </w:rPr>
      </w:pPr>
      <w:r>
        <w:rPr>
          <w:rFonts w:ascii="宋体" w:hAnsi="宋体" w:cs="宋体"/>
          <w:sz w:val="24"/>
          <w:szCs w:val="24"/>
          <w:highlight w:val="none"/>
          <w:lang w:val="zh-CN"/>
        </w:rPr>
        <w:t>3</w:t>
      </w:r>
      <w:r>
        <w:rPr>
          <w:rFonts w:hint="eastAsia" w:ascii="宋体" w:hAnsi="宋体" w:cs="宋体"/>
          <w:sz w:val="24"/>
          <w:szCs w:val="24"/>
          <w:highlight w:val="none"/>
          <w:lang w:val="zh-CN"/>
        </w:rPr>
        <w:t>、乙方所交货物品种、型号、规格、颜色、质量等与合同不符的，如甲方同意利用，应按质论价；甲方不同意利用的，可选择以下任一种处理方案：</w:t>
      </w:r>
    </w:p>
    <w:p>
      <w:pPr>
        <w:autoSpaceDE w:val="0"/>
        <w:autoSpaceDN w:val="0"/>
        <w:adjustRightInd w:val="0"/>
        <w:spacing w:line="360" w:lineRule="auto"/>
        <w:ind w:left="200"/>
        <w:rPr>
          <w:rFonts w:ascii="宋体"/>
          <w:sz w:val="24"/>
          <w:szCs w:val="24"/>
          <w:highlight w:val="none"/>
          <w:lang w:val="zh-CN"/>
        </w:rPr>
      </w:pPr>
      <w:r>
        <w:rPr>
          <w:rFonts w:ascii="宋体" w:hAnsi="宋体" w:cs="宋体"/>
          <w:sz w:val="24"/>
          <w:szCs w:val="24"/>
          <w:highlight w:val="none"/>
          <w:lang w:val="zh-CN"/>
        </w:rPr>
        <w:t>A</w:t>
      </w:r>
      <w:r>
        <w:rPr>
          <w:rFonts w:hint="eastAsia" w:ascii="宋体" w:hAnsi="宋体" w:cs="宋体"/>
          <w:sz w:val="24"/>
          <w:szCs w:val="24"/>
          <w:highlight w:val="none"/>
          <w:lang w:val="zh-CN"/>
        </w:rPr>
        <w:t>、由乙方在一周内负责包换，并承担修理、调换或退货而支付的实际费用及因此所造成甲方的相关损失；数量不足的乙方应在收到甲方补货通知后十天内将补充货物送达甲方工地或工厂；</w:t>
      </w:r>
    </w:p>
    <w:p>
      <w:pPr>
        <w:autoSpaceDE w:val="0"/>
        <w:autoSpaceDN w:val="0"/>
        <w:adjustRightInd w:val="0"/>
        <w:spacing w:line="360" w:lineRule="auto"/>
        <w:ind w:left="200"/>
        <w:rPr>
          <w:rFonts w:ascii="宋体"/>
          <w:sz w:val="24"/>
          <w:szCs w:val="24"/>
          <w:highlight w:val="none"/>
          <w:lang w:val="zh-CN"/>
        </w:rPr>
      </w:pPr>
      <w:r>
        <w:rPr>
          <w:rFonts w:ascii="宋体" w:hAnsi="宋体" w:cs="宋体"/>
          <w:sz w:val="24"/>
          <w:szCs w:val="24"/>
          <w:highlight w:val="none"/>
          <w:lang w:val="zh-CN"/>
        </w:rPr>
        <w:t>B</w:t>
      </w:r>
      <w:r>
        <w:rPr>
          <w:rFonts w:hint="eastAsia" w:ascii="宋体" w:hAnsi="宋体" w:cs="宋体"/>
          <w:sz w:val="24"/>
          <w:szCs w:val="24"/>
          <w:highlight w:val="none"/>
          <w:lang w:val="zh-CN"/>
        </w:rPr>
        <w:t>、若因乙方质量问题导致业主方要求更换品牌的、对甲方已经或有证据表明即将造成重大损失的（本合同金额的</w:t>
      </w:r>
      <w:r>
        <w:rPr>
          <w:rFonts w:ascii="宋体" w:hAnsi="宋体" w:cs="宋体"/>
          <w:sz w:val="24"/>
          <w:szCs w:val="24"/>
          <w:highlight w:val="none"/>
          <w:lang w:val="zh-CN"/>
        </w:rPr>
        <w:t>20%</w:t>
      </w:r>
      <w:r>
        <w:rPr>
          <w:rFonts w:hint="eastAsia" w:ascii="宋体" w:hAnsi="宋体" w:cs="宋体"/>
          <w:sz w:val="24"/>
          <w:szCs w:val="24"/>
          <w:highlight w:val="none"/>
          <w:lang w:val="zh-CN"/>
        </w:rPr>
        <w:t>及以上），甲方可解除与乙方的合同，并要求乙方承担由此造成的甲方全部损失。</w:t>
      </w:r>
    </w:p>
    <w:p>
      <w:pPr>
        <w:spacing w:line="360" w:lineRule="auto"/>
        <w:textAlignment w:val="baseline"/>
        <w:rPr>
          <w:rFonts w:ascii="宋体"/>
          <w:sz w:val="24"/>
          <w:szCs w:val="24"/>
          <w:highlight w:val="none"/>
          <w:lang w:val="zh-CN"/>
        </w:rPr>
      </w:pPr>
      <w:r>
        <w:rPr>
          <w:rFonts w:ascii="宋体" w:hAnsi="宋体" w:cs="宋体"/>
          <w:sz w:val="24"/>
          <w:szCs w:val="24"/>
          <w:highlight w:val="none"/>
          <w:lang w:val="zh-CN"/>
        </w:rPr>
        <w:t>4</w:t>
      </w:r>
      <w:r>
        <w:rPr>
          <w:rFonts w:hint="eastAsia" w:ascii="宋体" w:hAnsi="宋体" w:cs="宋体"/>
          <w:sz w:val="24"/>
          <w:szCs w:val="24"/>
          <w:highlight w:val="none"/>
          <w:lang w:val="zh-CN"/>
        </w:rPr>
        <w:t>、如乙方提供的产品同批次在按照合同规定检验判定不合格二次以上时,甲方有权利对乙方进行额度不超过本批次加工费2%的质量罚款，情节严重时，甲方有权终止本合同，乙方应赔偿因质量问题对甲方造成的经济损失，该经济损失包括了业主方的罚款、工程进度延期等给甲方造成的相关损失。</w:t>
      </w:r>
    </w:p>
    <w:p>
      <w:pPr>
        <w:spacing w:line="360" w:lineRule="auto"/>
        <w:textAlignment w:val="baseline"/>
        <w:rPr>
          <w:rFonts w:hint="eastAsia" w:ascii="宋体" w:hAnsi="宋体" w:cs="宋体"/>
          <w:color w:val="000000"/>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w:t>
      </w:r>
      <w:r>
        <w:rPr>
          <w:rFonts w:hint="eastAsia" w:ascii="宋体" w:hAnsi="宋体" w:cs="宋体"/>
          <w:color w:val="000000"/>
          <w:sz w:val="24"/>
          <w:szCs w:val="24"/>
          <w:highlight w:val="none"/>
        </w:rPr>
        <w:t>本合同为独立合同，乙方不能因为双方已经或将来签订的其它合同产生的纠纷而中止履行、不履行或不积极履行合同义务，每发生一次乙方应向甲方支付合同价款的</w:t>
      </w:r>
      <w:r>
        <w:rPr>
          <w:rFonts w:ascii="宋体" w:hAnsi="宋体" w:cs="宋体"/>
          <w:color w:val="000000"/>
          <w:sz w:val="24"/>
          <w:szCs w:val="24"/>
          <w:highlight w:val="none"/>
        </w:rPr>
        <w:t>5%</w:t>
      </w:r>
      <w:r>
        <w:rPr>
          <w:rFonts w:hint="eastAsia" w:ascii="宋体" w:hAnsi="宋体" w:cs="宋体"/>
          <w:color w:val="000000"/>
          <w:sz w:val="24"/>
          <w:szCs w:val="24"/>
          <w:highlight w:val="none"/>
        </w:rPr>
        <w:t>作为违约金，并继续积极切实履行合同。</w:t>
      </w:r>
    </w:p>
    <w:p>
      <w:pPr>
        <w:spacing w:line="400" w:lineRule="atLeast"/>
        <w:ind w:left="19" w:leftChars="-100" w:hanging="229" w:hangingChars="95"/>
        <w:rPr>
          <w:rFonts w:ascii="宋体"/>
          <w:b/>
          <w:bCs/>
          <w:sz w:val="24"/>
          <w:szCs w:val="24"/>
          <w:highlight w:val="none"/>
        </w:rPr>
      </w:pPr>
      <w:r>
        <w:rPr>
          <w:rFonts w:hint="eastAsia" w:ascii="宋体" w:hAnsi="宋体" w:cs="宋体"/>
          <w:b/>
          <w:bCs/>
          <w:sz w:val="24"/>
          <w:szCs w:val="24"/>
          <w:highlight w:val="none"/>
        </w:rPr>
        <w:t>第九条保密及知识产权</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非经甲方事先书面同意，乙方不得将甲方在本合同签署及履行过程中披露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spacing w:line="400" w:lineRule="atLeast"/>
        <w:rPr>
          <w:rFonts w:ascii="宋体"/>
          <w:sz w:val="24"/>
          <w:szCs w:val="24"/>
          <w:highlight w:val="none"/>
        </w:rPr>
      </w:pPr>
      <w:r>
        <w:rPr>
          <w:rFonts w:hint="eastAsia" w:ascii="宋体" w:hAnsi="宋体" w:cs="宋体"/>
          <w:sz w:val="24"/>
          <w:szCs w:val="24"/>
          <w:highlight w:val="none"/>
        </w:rPr>
        <w:t>本条款构成独立的保密协议。本条款的义务不因本合同的终止而终止。</w:t>
      </w:r>
    </w:p>
    <w:p>
      <w:pPr>
        <w:spacing w:line="400" w:lineRule="atLeast"/>
        <w:ind w:firstLine="480" w:firstLineChars="200"/>
        <w:rPr>
          <w:rFonts w:hint="eastAsia"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乙方应保证，甲方在中华人民共和国使用本合同项下货物或货物的一部分时，免于遭受第三方就知识产权（包括但不限于专利权、商标权、著作权及非专利技术）提起的诉讼、仲裁或任何请求。如果发生因乙方出售的货物或货物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w:t>
      </w:r>
      <w:r>
        <w:rPr>
          <w:rFonts w:ascii="宋体" w:hAnsi="宋体" w:cs="宋体"/>
          <w:sz w:val="24"/>
          <w:szCs w:val="24"/>
          <w:highlight w:val="none"/>
        </w:rPr>
        <w:t>/</w:t>
      </w:r>
      <w:r>
        <w:rPr>
          <w:rFonts w:hint="eastAsia" w:ascii="宋体" w:hAnsi="宋体" w:cs="宋体"/>
          <w:sz w:val="24"/>
          <w:szCs w:val="24"/>
          <w:highlight w:val="none"/>
        </w:rPr>
        <w:t>裁定而支付的违约金，以及赔偿甲方因此而受到的一切损失。</w:t>
      </w:r>
    </w:p>
    <w:p>
      <w:pPr>
        <w:numPr>
          <w:ilvl w:val="0"/>
          <w:numId w:val="0"/>
        </w:numPr>
        <w:spacing w:line="400" w:lineRule="atLeast"/>
        <w:ind w:firstLine="72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乙方不得以任何主体、任何形式侵占、抢注、抢先申请应当由甲方享有的知识产权，即不得将甲方提供的任何资料申请为乙方的包括但不限于专利权、商标权、著作权、商号，名称权等权利，如乙方违反该承诺，乙方应当向甲方支付违约2万元人民币，如甲方损失超过该违约金的，乙方还需要继续赔偿甲方全部经济损失。</w:t>
      </w:r>
    </w:p>
    <w:p>
      <w:pPr>
        <w:numPr>
          <w:ilvl w:val="0"/>
          <w:numId w:val="7"/>
        </w:numPr>
        <w:spacing w:line="400" w:lineRule="atLeast"/>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如乙方因合作需要，欲使用甲方享有之专利、商标、版权等知识产权转悠权利，必须经甲方明确地书面授权或许可。</w:t>
      </w:r>
    </w:p>
    <w:p>
      <w:pPr>
        <w:numPr>
          <w:ilvl w:val="0"/>
          <w:numId w:val="7"/>
        </w:numPr>
        <w:spacing w:line="400" w:lineRule="atLeast"/>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本合同无论任何原因解除或终止的，乙方应立即停止使用甲方知识产权，销毁或返还包括但不限于文件、标识及产品等一切资料、产品。并保证这些资料、产品不泄露给任何第三方。</w:t>
      </w:r>
    </w:p>
    <w:p>
      <w:pPr>
        <w:spacing w:line="400" w:lineRule="atLeast"/>
        <w:ind w:left="-210" w:leftChars="-100"/>
        <w:rPr>
          <w:rFonts w:ascii="宋体"/>
          <w:b/>
          <w:bCs/>
          <w:sz w:val="24"/>
          <w:szCs w:val="24"/>
          <w:highlight w:val="none"/>
        </w:rPr>
      </w:pPr>
      <w:r>
        <w:rPr>
          <w:rFonts w:hint="eastAsia" w:ascii="宋体" w:hAnsi="宋体" w:cs="宋体"/>
          <w:b/>
          <w:bCs/>
          <w:sz w:val="24"/>
          <w:szCs w:val="24"/>
          <w:highlight w:val="none"/>
        </w:rPr>
        <w:t>第十条签收授权</w:t>
      </w:r>
    </w:p>
    <w:p>
      <w:pPr>
        <w:spacing w:line="400" w:lineRule="atLeast"/>
        <w:ind w:left="-210" w:leftChars="-100" w:firstLine="758" w:firstLineChars="316"/>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、甲方合同签字委托代理</w:t>
      </w:r>
      <w:r>
        <w:rPr>
          <w:rFonts w:hint="eastAsia" w:ascii="宋体" w:hAnsi="宋体" w:cs="宋体"/>
          <w:sz w:val="24"/>
          <w:szCs w:val="24"/>
          <w:highlight w:val="none"/>
          <w:u w:val="single"/>
          <w:lang w:eastAsia="zh-CN"/>
        </w:rPr>
        <w:t>何雪凌</w:t>
      </w:r>
      <w:r>
        <w:rPr>
          <w:rFonts w:hint="eastAsia" w:ascii="宋体" w:hAnsi="宋体" w:cs="宋体"/>
          <w:sz w:val="24"/>
          <w:szCs w:val="24"/>
          <w:highlight w:val="none"/>
        </w:rPr>
        <w:t>，乙方合同签字委托代理</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spacing w:line="400" w:lineRule="atLeast"/>
        <w:ind w:firstLine="480" w:firstLineChars="200"/>
        <w:rPr>
          <w:rFonts w:hint="eastAsia" w:ascii="宋体" w:hAnsi="宋体" w:cs="宋体"/>
          <w:sz w:val="24"/>
          <w:szCs w:val="24"/>
          <w:highlight w:val="none"/>
          <w:u w:val="single"/>
        </w:rPr>
      </w:pPr>
      <w:r>
        <w:rPr>
          <w:rFonts w:ascii="宋体" w:hAnsi="宋体" w:cs="宋体"/>
          <w:sz w:val="24"/>
          <w:szCs w:val="24"/>
          <w:highlight w:val="none"/>
        </w:rPr>
        <w:t>2</w:t>
      </w:r>
      <w:r>
        <w:rPr>
          <w:rFonts w:hint="eastAsia" w:ascii="宋体" w:hAnsi="宋体" w:cs="宋体"/>
          <w:sz w:val="24"/>
          <w:szCs w:val="24"/>
          <w:highlight w:val="none"/>
        </w:rPr>
        <w:t>、乙方按照甲方以电子邮件等途径传送的铝板加工图和订单生产。甲方下单确认人以</w:t>
      </w:r>
      <w:r>
        <w:rPr>
          <w:rFonts w:hint="eastAsia" w:ascii="宋体" w:hAnsi="宋体" w:cs="宋体"/>
          <w:sz w:val="24"/>
          <w:szCs w:val="24"/>
          <w:highlight w:val="none"/>
          <w:u w:val="single"/>
          <w:lang w:eastAsia="zh-CN"/>
        </w:rPr>
        <w:t>何雪凌</w:t>
      </w:r>
      <w:r>
        <w:rPr>
          <w:rFonts w:hint="eastAsia" w:ascii="宋体" w:hAnsi="宋体" w:cs="宋体"/>
          <w:sz w:val="24"/>
          <w:szCs w:val="24"/>
          <w:highlight w:val="none"/>
          <w:u w:val="single"/>
          <w:lang w:val="en-US" w:eastAsia="zh-CN"/>
        </w:rPr>
        <w:t>/王火明</w:t>
      </w:r>
      <w:r>
        <w:rPr>
          <w:rFonts w:hint="eastAsia" w:ascii="宋体" w:hAnsi="宋体" w:cs="宋体"/>
          <w:sz w:val="24"/>
          <w:szCs w:val="24"/>
          <w:highlight w:val="none"/>
        </w:rPr>
        <w:t>或盖甲方有效印章为准，甲方接货确认人以项目部印章或仓库印章为准。加工厂指定签收人以</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签收人签字和盖章为准。</w:t>
      </w:r>
    </w:p>
    <w:p>
      <w:pPr>
        <w:spacing w:line="440" w:lineRule="exact"/>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、除甲方指定签收人员以外其他任何人员签署的任何形式的收货凭据均不作为货物签收的依据，甲方指定的签收人仅对不超过合同总量</w:t>
      </w:r>
      <w:r>
        <w:rPr>
          <w:rFonts w:ascii="宋体" w:hAnsi="宋体" w:cs="宋体"/>
          <w:sz w:val="24"/>
          <w:szCs w:val="24"/>
          <w:highlight w:val="none"/>
        </w:rPr>
        <w:t>5%</w:t>
      </w:r>
      <w:r>
        <w:rPr>
          <w:rFonts w:hint="eastAsia" w:ascii="宋体" w:hAnsi="宋体" w:cs="宋体"/>
          <w:sz w:val="24"/>
          <w:szCs w:val="24"/>
          <w:highlight w:val="none"/>
        </w:rPr>
        <w:t>范围内的签收有效，且其签署的收货凭据仅作为甲方收到货物的数量、外观、到场时间等的证明，</w:t>
      </w:r>
      <w:r>
        <w:rPr>
          <w:rFonts w:hint="eastAsia" w:ascii="宋体" w:cs="宋体"/>
          <w:sz w:val="24"/>
          <w:szCs w:val="24"/>
          <w:highlight w:val="none"/>
          <w:lang w:val="zh-CN"/>
        </w:rPr>
        <w:t>最终合同结算金额以甲乙双方成本部根据本合同结算条款进行书面沟通的结果并加盖双方公章为准</w:t>
      </w:r>
      <w:r>
        <w:rPr>
          <w:rFonts w:hint="eastAsia" w:ascii="宋体" w:hAnsi="宋体" w:cs="宋体"/>
          <w:sz w:val="24"/>
          <w:szCs w:val="24"/>
          <w:highlight w:val="none"/>
        </w:rPr>
        <w:t>。且甲方对乙方货物的签收，并不能免除乙方对其所提供产品应承担的质量缺陷责任</w:t>
      </w:r>
      <w:r>
        <w:rPr>
          <w:rFonts w:hint="eastAsia" w:ascii="宋体" w:hAnsi="宋体" w:cs="宋体"/>
          <w:sz w:val="24"/>
          <w:szCs w:val="24"/>
          <w:highlight w:val="none"/>
          <w:lang w:val="zh-CN"/>
        </w:rPr>
        <w:t>。</w:t>
      </w:r>
    </w:p>
    <w:p>
      <w:pPr>
        <w:spacing w:line="400" w:lineRule="atLeast"/>
        <w:ind w:left="42" w:leftChars="20" w:firstLine="453" w:firstLineChars="189"/>
        <w:rPr>
          <w:rFonts w:hint="eastAsia"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、如甲乙双方签字人员有变动则以双方书面函件通知为准，合同内容如有变更或实际订购数量超过合同总额的</w:t>
      </w:r>
      <w:r>
        <w:rPr>
          <w:rFonts w:ascii="宋体" w:hAnsi="宋体" w:cs="宋体"/>
          <w:sz w:val="24"/>
          <w:szCs w:val="24"/>
          <w:highlight w:val="none"/>
        </w:rPr>
        <w:t>5%</w:t>
      </w:r>
      <w:r>
        <w:rPr>
          <w:rFonts w:hint="eastAsia" w:ascii="宋体" w:hAnsi="宋体" w:cs="宋体"/>
          <w:sz w:val="24"/>
          <w:szCs w:val="24"/>
          <w:highlight w:val="none"/>
        </w:rPr>
        <w:t>时则甲乙双方需签订补充协议，补充协议在双方授权人签字并加盖与本合同相同印章后生效，与本合同具有同等法律效力。</w:t>
      </w:r>
    </w:p>
    <w:p>
      <w:pPr>
        <w:spacing w:line="400" w:lineRule="atLeast"/>
        <w:ind w:left="-315" w:leftChars="-150" w:right="31" w:rightChars="15" w:firstLine="99" w:firstLineChars="41"/>
        <w:rPr>
          <w:rFonts w:ascii="宋体"/>
          <w:b/>
          <w:bCs/>
          <w:sz w:val="24"/>
          <w:szCs w:val="24"/>
          <w:highlight w:val="none"/>
        </w:rPr>
      </w:pPr>
      <w:r>
        <w:rPr>
          <w:rFonts w:hint="eastAsia" w:ascii="宋体" w:hAnsi="宋体" w:cs="宋体"/>
          <w:b/>
          <w:bCs/>
          <w:sz w:val="24"/>
          <w:szCs w:val="24"/>
          <w:highlight w:val="none"/>
        </w:rPr>
        <w:t>第十一条合同解除条款</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、甲乙双方共同确认，乙方出现以下任意情形之一的，甲方随时有权单方解除本合同，并要求乙方承担合同金额或结算金额</w:t>
      </w:r>
      <w:r>
        <w:rPr>
          <w:rFonts w:ascii="宋体" w:hAnsi="宋体" w:cs="宋体"/>
          <w:sz w:val="24"/>
          <w:szCs w:val="24"/>
          <w:highlight w:val="none"/>
        </w:rPr>
        <w:t>20%</w:t>
      </w:r>
      <w:r>
        <w:rPr>
          <w:rFonts w:hint="eastAsia" w:ascii="宋体" w:hAnsi="宋体" w:cs="宋体"/>
          <w:sz w:val="24"/>
          <w:szCs w:val="24"/>
          <w:highlight w:val="none"/>
        </w:rPr>
        <w:t>的违约金，违约金不足以弥补损失的，甲方有权继续向乙方索赔：</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乙方逾期交货（或施工安装）超过</w:t>
      </w:r>
      <w:r>
        <w:rPr>
          <w:rFonts w:ascii="宋体" w:hAnsi="宋体" w:cs="宋体"/>
          <w:sz w:val="24"/>
          <w:szCs w:val="24"/>
          <w:highlight w:val="none"/>
        </w:rPr>
        <w:t>5</w:t>
      </w:r>
      <w:r>
        <w:rPr>
          <w:rFonts w:hint="eastAsia" w:ascii="宋体" w:hAnsi="宋体" w:cs="宋体"/>
          <w:sz w:val="24"/>
          <w:szCs w:val="24"/>
          <w:highlight w:val="none"/>
        </w:rPr>
        <w:t>日以上的，且经甲方催告后拒不整改或整改后仍无法满足交货（或施工安装）要求的；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乙方交付的产品（或施工的工程）不符合合同的质量标准和要求，甲方要求整改后拒不整改或经整改后仍无法满足合同质量要求的或项目业主、总包、监理要求的；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1.3.</w:t>
      </w:r>
      <w:r>
        <w:rPr>
          <w:rFonts w:hint="eastAsia" w:ascii="宋体" w:hAnsi="宋体" w:cs="宋体"/>
          <w:sz w:val="24"/>
          <w:szCs w:val="24"/>
          <w:highlight w:val="none"/>
        </w:rPr>
        <w:t>乙方未按照甲方订单要求或图纸要求进行生产加工的，经甲方要求整改后拒不整改的或整改后仍无法满足甲方订单或图纸生产要求的；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1.4.</w:t>
      </w:r>
      <w:r>
        <w:rPr>
          <w:rFonts w:hint="eastAsia" w:ascii="宋体" w:hAnsi="宋体" w:cs="宋体"/>
          <w:sz w:val="24"/>
          <w:szCs w:val="24"/>
          <w:highlight w:val="none"/>
        </w:rPr>
        <w:t>乙方未经甲方同意擅自更换合同约定的品牌、技术参数、规格型号以次充好、以假充真等；</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1.5.</w:t>
      </w:r>
      <w:r>
        <w:rPr>
          <w:rFonts w:hint="eastAsia" w:ascii="宋体" w:hAnsi="宋体" w:cs="宋体"/>
          <w:sz w:val="24"/>
          <w:szCs w:val="24"/>
          <w:highlight w:val="none"/>
        </w:rPr>
        <w:t>因乙方质量问题导致业主方要求甲方更换品牌的，或甲方进行罚款或追究违约责任的，或造成甲方工期延误的；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1.6.</w:t>
      </w:r>
      <w:r>
        <w:rPr>
          <w:rFonts w:hint="eastAsia" w:ascii="宋体" w:hAnsi="宋体" w:cs="宋体"/>
          <w:sz w:val="24"/>
          <w:szCs w:val="24"/>
          <w:highlight w:val="none"/>
        </w:rPr>
        <w:t>乙方不能继续履行合同的，包括但不限于资不抵债、停业整顿、破产清算等；</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1.7.</w:t>
      </w:r>
      <w:r>
        <w:rPr>
          <w:rFonts w:hint="eastAsia" w:ascii="宋体" w:hAnsi="宋体" w:cs="宋体"/>
          <w:sz w:val="24"/>
          <w:szCs w:val="24"/>
          <w:highlight w:val="none"/>
        </w:rPr>
        <w:t>乙方违反本合同保密与知识产权的约定或乙方存在侵犯甲方知识产权行为的；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 xml:space="preserve">1.8. </w:t>
      </w:r>
      <w:r>
        <w:rPr>
          <w:rFonts w:hint="eastAsia" w:ascii="宋体" w:hAnsi="宋体" w:cs="宋体"/>
          <w:sz w:val="24"/>
          <w:szCs w:val="24"/>
          <w:highlight w:val="none"/>
        </w:rPr>
        <w:t>乙方违反其他合同义务及附随义务的，经甲方要求整改后拒不整改的或整改后仍不满足合同约定的；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乙方违法转包或未经甲方书面同意将其权利义务转让给第三方的；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1.10</w:t>
      </w:r>
      <w:r>
        <w:rPr>
          <w:rFonts w:hint="eastAsia" w:ascii="宋体" w:hAnsi="宋体" w:cs="宋体"/>
          <w:sz w:val="24"/>
          <w:szCs w:val="24"/>
          <w:highlight w:val="none"/>
        </w:rPr>
        <w:t>向甲方工作人员或亲友提供任何形式的回扣、礼品、有价证券等贿赂；</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1.11.</w:t>
      </w:r>
      <w:r>
        <w:rPr>
          <w:rFonts w:hint="eastAsia" w:ascii="宋体" w:hAnsi="宋体" w:cs="宋体"/>
          <w:sz w:val="24"/>
          <w:szCs w:val="24"/>
          <w:highlight w:val="none"/>
        </w:rPr>
        <w:t>乙方在合同签订或履行期间中有欺诈行为的。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、甲乙双方共同确认，出现以下任意情形之一的，双方可以协商解除合同并据实办理结算手续，减少双方损失：</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2.1.</w:t>
      </w:r>
      <w:r>
        <w:rPr>
          <w:rFonts w:hint="eastAsia" w:ascii="宋体" w:hAnsi="宋体" w:cs="宋体"/>
          <w:sz w:val="24"/>
          <w:szCs w:val="24"/>
          <w:highlight w:val="none"/>
        </w:rPr>
        <w:t>因项目停建（超过</w:t>
      </w:r>
      <w:r>
        <w:rPr>
          <w:rFonts w:ascii="宋体" w:hAnsi="宋体" w:cs="宋体"/>
          <w:sz w:val="24"/>
          <w:szCs w:val="24"/>
          <w:highlight w:val="none"/>
        </w:rPr>
        <w:t>6</w:t>
      </w:r>
      <w:r>
        <w:rPr>
          <w:rFonts w:hint="eastAsia" w:ascii="宋体" w:hAnsi="宋体" w:cs="宋体"/>
          <w:sz w:val="24"/>
          <w:szCs w:val="24"/>
          <w:highlight w:val="none"/>
        </w:rPr>
        <w:t>个月）或取消；</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甲方和业主的施工合同解除的；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2.3.</w:t>
      </w:r>
      <w:r>
        <w:rPr>
          <w:rFonts w:hint="eastAsia" w:ascii="宋体" w:hAnsi="宋体" w:cs="宋体"/>
          <w:sz w:val="24"/>
          <w:szCs w:val="24"/>
          <w:highlight w:val="none"/>
        </w:rPr>
        <w:t>非因乙方原因业主更改品牌的；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2.4.</w:t>
      </w:r>
      <w:r>
        <w:rPr>
          <w:rFonts w:hint="eastAsia" w:ascii="宋体" w:hAnsi="宋体" w:cs="宋体"/>
          <w:sz w:val="24"/>
          <w:szCs w:val="24"/>
          <w:highlight w:val="none"/>
        </w:rPr>
        <w:t>因政策或政府行为导致项目无法继续施工的；</w:t>
      </w:r>
    </w:p>
    <w:p>
      <w:pPr>
        <w:spacing w:line="400" w:lineRule="atLeast"/>
        <w:ind w:left="42" w:leftChars="20" w:firstLine="453" w:firstLineChars="189"/>
        <w:rPr>
          <w:rFonts w:ascii="宋体"/>
          <w:sz w:val="24"/>
          <w:szCs w:val="24"/>
          <w:highlight w:val="none"/>
        </w:rPr>
      </w:pPr>
      <w:r>
        <w:rPr>
          <w:rFonts w:ascii="宋体" w:hAnsi="宋体" w:cs="宋体"/>
          <w:sz w:val="24"/>
          <w:szCs w:val="24"/>
          <w:highlight w:val="none"/>
        </w:rPr>
        <w:t>2.5.</w:t>
      </w:r>
      <w:r>
        <w:rPr>
          <w:rFonts w:hint="eastAsia" w:ascii="宋体" w:hAnsi="宋体" w:cs="宋体"/>
          <w:sz w:val="24"/>
          <w:szCs w:val="24"/>
          <w:highlight w:val="none"/>
        </w:rPr>
        <w:t>因不可抗力发生，合同无法继续履行的。</w:t>
      </w:r>
    </w:p>
    <w:p>
      <w:pPr>
        <w:spacing w:line="400" w:lineRule="atLeast"/>
        <w:ind w:left="-315" w:leftChars="-150" w:right="31" w:rightChars="15" w:firstLine="99" w:firstLineChars="41"/>
        <w:rPr>
          <w:rFonts w:ascii="宋体"/>
          <w:sz w:val="24"/>
          <w:szCs w:val="24"/>
          <w:highlight w:val="none"/>
        </w:rPr>
      </w:pPr>
      <w:r>
        <w:rPr>
          <w:rFonts w:hint="eastAsia" w:ascii="宋体" w:hAnsi="宋体" w:cs="宋体"/>
          <w:b/>
          <w:bCs/>
          <w:sz w:val="24"/>
          <w:szCs w:val="24"/>
          <w:highlight w:val="none"/>
        </w:rPr>
        <w:t>第十二条合同纠纷的解决</w:t>
      </w:r>
    </w:p>
    <w:p>
      <w:pPr>
        <w:spacing w:line="400" w:lineRule="atLeast"/>
        <w:ind w:leftChars="-150" w:hanging="300" w:hangingChars="125"/>
        <w:rPr>
          <w:rFonts w:ascii="宋体"/>
          <w:sz w:val="24"/>
          <w:szCs w:val="24"/>
          <w:highlight w:val="none"/>
        </w:rPr>
      </w:pPr>
      <w:r>
        <w:rPr>
          <w:rFonts w:ascii="宋体"/>
          <w:sz w:val="24"/>
          <w:szCs w:val="24"/>
          <w:highlight w:val="none"/>
        </w:rPr>
        <w:tab/>
      </w:r>
      <w:r>
        <w:rPr>
          <w:rFonts w:hint="eastAsia" w:ascii="宋体"/>
          <w:sz w:val="24"/>
          <w:szCs w:val="24"/>
          <w:highlight w:val="none"/>
          <w:lang w:val="en-US" w:eastAsia="zh-CN"/>
        </w:rPr>
        <w:t xml:space="preserve">   </w:t>
      </w:r>
      <w:r>
        <w:rPr>
          <w:rFonts w:hint="eastAsia" w:ascii="宋体" w:hAnsi="宋体" w:cs="宋体"/>
          <w:sz w:val="24"/>
          <w:szCs w:val="24"/>
          <w:highlight w:val="none"/>
        </w:rPr>
        <w:t>凡因本合同引起的或与本合同有关的任何争议，如协商不能解决，双方均可向合同签约地有管辖权的人民法院起诉。</w:t>
      </w:r>
    </w:p>
    <w:p>
      <w:pPr>
        <w:spacing w:line="400" w:lineRule="atLeast"/>
        <w:ind w:left="19" w:leftChars="-100" w:hanging="229" w:hangingChars="95"/>
        <w:rPr>
          <w:rFonts w:ascii="宋体"/>
          <w:b/>
          <w:bCs/>
          <w:sz w:val="24"/>
          <w:szCs w:val="24"/>
          <w:highlight w:val="none"/>
          <w:lang w:val="zh-CN"/>
        </w:rPr>
      </w:pPr>
      <w:r>
        <w:rPr>
          <w:rFonts w:hint="eastAsia" w:ascii="宋体" w:hAnsi="宋体" w:cs="宋体"/>
          <w:b/>
          <w:bCs/>
          <w:sz w:val="24"/>
          <w:szCs w:val="24"/>
          <w:highlight w:val="none"/>
        </w:rPr>
        <w:t>第十三条</w:t>
      </w:r>
      <w:r>
        <w:rPr>
          <w:rFonts w:hint="eastAsia" w:ascii="宋体" w:hAnsi="宋体" w:cs="宋体"/>
          <w:b/>
          <w:bCs/>
          <w:sz w:val="24"/>
          <w:szCs w:val="24"/>
          <w:highlight w:val="none"/>
          <w:lang w:val="zh-CN"/>
        </w:rPr>
        <w:t>环境和职业健康安全要求</w:t>
      </w:r>
    </w:p>
    <w:p>
      <w:pPr>
        <w:spacing w:line="400" w:lineRule="atLeast"/>
        <w:ind w:left="-210" w:leftChars="-100" w:firstLine="720" w:firstLineChars="0"/>
        <w:rPr>
          <w:rFonts w:hint="eastAsia" w:ascii="宋体" w:hAnsi="宋体" w:cs="宋体"/>
          <w:sz w:val="24"/>
          <w:szCs w:val="24"/>
          <w:highlight w:val="none"/>
          <w:lang w:val="zh-CN"/>
        </w:rPr>
      </w:pPr>
      <w:r>
        <w:rPr>
          <w:rFonts w:hint="eastAsia" w:ascii="宋体" w:hAnsi="宋体" w:cs="宋体"/>
          <w:sz w:val="24"/>
          <w:szCs w:val="24"/>
          <w:highlight w:val="none"/>
          <w:lang w:val="zh-CN"/>
        </w:rPr>
        <w:t>乙方需遵守国家有关环境职业健康和安全的法律法规。在产品的生产、包装、运输和使用中，注意保护环境，尊重员工的健康和安全。致力于工厂内的污染预防和环境绩效的持续改进，为双方的可持续发展做出贡献。</w:t>
      </w:r>
    </w:p>
    <w:p>
      <w:pPr>
        <w:spacing w:line="400" w:lineRule="atLeast"/>
        <w:ind w:left="19" w:leftChars="-100" w:hanging="229" w:hangingChars="95"/>
        <w:rPr>
          <w:rFonts w:ascii="宋体"/>
          <w:b/>
          <w:bCs/>
          <w:sz w:val="24"/>
          <w:szCs w:val="24"/>
          <w:highlight w:val="none"/>
          <w:lang w:val="zh-CN"/>
        </w:rPr>
      </w:pPr>
      <w:r>
        <w:rPr>
          <w:rFonts w:hint="eastAsia" w:ascii="宋体" w:hAnsi="宋体" w:cs="宋体"/>
          <w:b/>
          <w:bCs/>
          <w:sz w:val="24"/>
          <w:szCs w:val="24"/>
          <w:highlight w:val="none"/>
        </w:rPr>
        <w:t>第十四条通知与送达</w:t>
      </w:r>
    </w:p>
    <w:p>
      <w:pPr>
        <w:spacing w:line="400" w:lineRule="atLeast"/>
        <w:ind w:firstLine="480" w:firstLineChars="200"/>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甲乙双方同意并确认下列地址和联系方式作为本合同项下文件、通知以及相关法律文书（包括但不限于甲乙双方的各类文件、通知；法院或仲裁庭送达的起诉状（或仲裁申请书）及证据、传票、应诉通知书、举证通知书、开庭通知书、支付令、判决书（裁决书）、裁定书、调解书、执行通知书、限期履行通知书等诉讼或仲裁审理以及执行阶段法律文书）的有效送达地址和联系方式：</w:t>
      </w:r>
    </w:p>
    <w:p>
      <w:pPr>
        <w:spacing w:line="400" w:lineRule="atLeast"/>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）甲方地址、联系方式</w:t>
      </w:r>
    </w:p>
    <w:p>
      <w:pPr>
        <w:spacing w:line="400" w:lineRule="atLeast"/>
        <w:ind w:firstLine="480" w:firstLineChars="200"/>
        <w:rPr>
          <w:rFonts w:ascii="宋体"/>
          <w:sz w:val="24"/>
          <w:szCs w:val="24"/>
          <w:highlight w:val="none"/>
        </w:rPr>
      </w:pPr>
      <w:r>
        <w:rPr>
          <w:rFonts w:hint="eastAsia" w:ascii="宋体" w:hAnsi="宋体" w:cs="宋体"/>
          <w:sz w:val="24"/>
          <w:szCs w:val="24"/>
          <w:highlight w:val="none"/>
        </w:rPr>
        <w:t>单位地址：</w:t>
      </w:r>
      <w:r>
        <w:rPr>
          <w:rFonts w:hint="eastAsia" w:ascii="宋体" w:hAnsi="宋体" w:cs="宋体"/>
          <w:sz w:val="24"/>
          <w:szCs w:val="24"/>
          <w:highlight w:val="none"/>
          <w:u w:val="single"/>
          <w:lang w:eastAsia="zh-CN"/>
        </w:rPr>
        <w:t>江西省南昌市高新开发区高新大道</w:t>
      </w:r>
      <w:r>
        <w:rPr>
          <w:rFonts w:hint="eastAsia" w:ascii="宋体" w:hAnsi="宋体" w:cs="宋体"/>
          <w:sz w:val="24"/>
          <w:szCs w:val="24"/>
          <w:highlight w:val="none"/>
          <w:u w:val="single"/>
          <w:lang w:val="en-US" w:eastAsia="zh-CN"/>
        </w:rPr>
        <w:t>1189号方大科技园</w:t>
      </w:r>
      <w:r>
        <w:rPr>
          <w:rFonts w:hint="eastAsia" w:ascii="宋体" w:hAnsi="宋体" w:cs="宋体"/>
          <w:sz w:val="24"/>
          <w:szCs w:val="24"/>
          <w:highlight w:val="none"/>
        </w:rPr>
        <w:t>；邮编：</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330096</w:t>
      </w:r>
      <w:r>
        <w:rPr>
          <w:rFonts w:ascii="宋体" w:hAnsi="宋体" w:cs="宋体"/>
          <w:sz w:val="24"/>
          <w:szCs w:val="24"/>
          <w:highlight w:val="none"/>
          <w:u w:val="single"/>
        </w:rPr>
        <w:t xml:space="preserve">   </w:t>
      </w:r>
      <w:r>
        <w:rPr>
          <w:rFonts w:hint="eastAsia" w:ascii="宋体" w:hAnsi="宋体" w:cs="宋体"/>
          <w:sz w:val="24"/>
          <w:szCs w:val="24"/>
          <w:highlight w:val="none"/>
        </w:rPr>
        <w:t>；</w:t>
      </w:r>
    </w:p>
    <w:p>
      <w:pPr>
        <w:spacing w:line="400" w:lineRule="atLeast"/>
        <w:ind w:firstLine="480" w:firstLineChars="200"/>
        <w:rPr>
          <w:rFonts w:ascii="宋体"/>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u w:val="single"/>
          <w:lang w:val="en-US" w:eastAsia="zh-CN"/>
        </w:rPr>
        <w:t>0791-88132397</w:t>
      </w:r>
      <w:r>
        <w:rPr>
          <w:rFonts w:hint="eastAsia" w:ascii="宋体" w:hAnsi="宋体" w:cs="宋体"/>
          <w:sz w:val="24"/>
          <w:szCs w:val="24"/>
          <w:highlight w:val="none"/>
        </w:rPr>
        <w:t>；</w:t>
      </w:r>
    </w:p>
    <w:p>
      <w:pPr>
        <w:spacing w:line="400" w:lineRule="atLeast"/>
        <w:ind w:firstLine="480" w:firstLineChars="200"/>
        <w:rPr>
          <w:rFonts w:ascii="宋体"/>
          <w:sz w:val="24"/>
          <w:szCs w:val="24"/>
          <w:highlight w:val="none"/>
        </w:rPr>
      </w:pPr>
      <w:r>
        <w:rPr>
          <w:rFonts w:hint="eastAsia" w:ascii="宋体" w:hAnsi="宋体" w:cs="宋体"/>
          <w:sz w:val="24"/>
          <w:szCs w:val="24"/>
          <w:highlight w:val="none"/>
        </w:rPr>
        <w:t>指定联系人</w:t>
      </w:r>
      <w:r>
        <w:rPr>
          <w:rFonts w:ascii="宋体" w:hAnsi="宋体" w:cs="宋体"/>
          <w:sz w:val="24"/>
          <w:szCs w:val="24"/>
          <w:highlight w:val="none"/>
        </w:rPr>
        <w:t>:</w:t>
      </w:r>
      <w:r>
        <w:rPr>
          <w:rFonts w:hint="eastAsia" w:ascii="宋体" w:hAnsi="宋体" w:cs="宋体"/>
          <w:sz w:val="24"/>
          <w:szCs w:val="24"/>
          <w:highlight w:val="none"/>
          <w:u w:val="single"/>
          <w:lang w:eastAsia="zh-CN"/>
        </w:rPr>
        <w:t>何雪凌</w:t>
      </w:r>
      <w:r>
        <w:rPr>
          <w:rFonts w:hint="eastAsia" w:ascii="宋体" w:hAnsi="宋体" w:cs="宋体"/>
          <w:sz w:val="24"/>
          <w:szCs w:val="24"/>
          <w:highlight w:val="none"/>
        </w:rPr>
        <w:t>；</w:t>
      </w:r>
      <w:r>
        <w:rPr>
          <w:rFonts w:ascii="宋体" w:hAnsi="宋体" w:cs="宋体"/>
          <w:sz w:val="24"/>
          <w:szCs w:val="24"/>
          <w:highlight w:val="none"/>
        </w:rPr>
        <w:t>E-mail</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50579358</w:t>
      </w:r>
      <w:r>
        <w:rPr>
          <w:rFonts w:ascii="宋体" w:hAnsi="宋体" w:cs="宋体"/>
          <w:sz w:val="24"/>
          <w:szCs w:val="24"/>
          <w:highlight w:val="none"/>
          <w:u w:val="single"/>
        </w:rPr>
        <w:t xml:space="preserve">@qq.com </w:t>
      </w:r>
      <w:r>
        <w:rPr>
          <w:rFonts w:hint="eastAsia" w:ascii="宋体" w:hAnsi="宋体" w:cs="宋体"/>
          <w:sz w:val="24"/>
          <w:szCs w:val="24"/>
          <w:highlight w:val="none"/>
        </w:rPr>
        <w:t>；联系电话：</w:t>
      </w:r>
      <w:r>
        <w:rPr>
          <w:rFonts w:hint="eastAsia" w:ascii="宋体" w:hAnsi="宋体" w:cs="宋体"/>
          <w:sz w:val="24"/>
          <w:szCs w:val="24"/>
          <w:highlight w:val="none"/>
          <w:u w:val="single"/>
          <w:lang w:val="en-US" w:eastAsia="zh-CN"/>
        </w:rPr>
        <w:t>13803512353</w:t>
      </w:r>
      <w:r>
        <w:rPr>
          <w:rFonts w:hint="eastAsia" w:ascii="宋体" w:hAnsi="宋体" w:cs="宋体"/>
          <w:sz w:val="24"/>
          <w:szCs w:val="24"/>
          <w:highlight w:val="none"/>
        </w:rPr>
        <w:t>；</w:t>
      </w:r>
    </w:p>
    <w:p>
      <w:pPr>
        <w:spacing w:line="400" w:lineRule="atLeast"/>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）乙方地址、联系方式</w:t>
      </w:r>
    </w:p>
    <w:p>
      <w:pPr>
        <w:spacing w:line="400" w:lineRule="atLeast"/>
        <w:ind w:firstLine="480" w:firstLineChars="200"/>
        <w:rPr>
          <w:rFonts w:ascii="宋体"/>
          <w:sz w:val="24"/>
          <w:szCs w:val="24"/>
          <w:highlight w:val="none"/>
          <w:u w:val="single"/>
        </w:rPr>
      </w:pPr>
      <w:r>
        <w:rPr>
          <w:rFonts w:hint="eastAsia" w:ascii="宋体" w:hAnsi="宋体" w:cs="宋体"/>
          <w:sz w:val="24"/>
          <w:szCs w:val="24"/>
          <w:highlight w:val="none"/>
        </w:rPr>
        <w:t>单位地址：</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；邮编：</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w:t>
      </w:r>
    </w:p>
    <w:p>
      <w:pPr>
        <w:spacing w:line="400" w:lineRule="atLeast"/>
        <w:ind w:left="864" w:leftChars="240" w:hanging="360" w:hangingChars="150"/>
        <w:rPr>
          <w:rFonts w:ascii="宋体"/>
          <w:sz w:val="24"/>
          <w:szCs w:val="24"/>
          <w:highlight w:val="none"/>
        </w:rPr>
      </w:pPr>
      <w:r>
        <w:rPr>
          <w:rFonts w:hint="eastAsia" w:ascii="宋体" w:hAnsi="宋体" w:cs="宋体"/>
          <w:sz w:val="24"/>
          <w:szCs w:val="24"/>
          <w:highlight w:val="none"/>
        </w:rPr>
        <w:t>联系电话：</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w:t>
      </w:r>
    </w:p>
    <w:p>
      <w:pPr>
        <w:spacing w:line="400" w:lineRule="atLeast"/>
        <w:ind w:firstLine="480" w:firstLineChars="200"/>
        <w:rPr>
          <w:rFonts w:ascii="宋体"/>
          <w:sz w:val="24"/>
          <w:szCs w:val="24"/>
          <w:highlight w:val="none"/>
        </w:rPr>
      </w:pPr>
      <w:r>
        <w:rPr>
          <w:rFonts w:hint="eastAsia" w:ascii="宋体" w:hAnsi="宋体" w:cs="宋体"/>
          <w:sz w:val="24"/>
          <w:szCs w:val="24"/>
          <w:highlight w:val="none"/>
        </w:rPr>
        <w:t>指定联系人</w:t>
      </w:r>
      <w:r>
        <w:rPr>
          <w:rFonts w:ascii="宋体" w:hAnsi="宋体" w:cs="宋体"/>
          <w:sz w:val="24"/>
          <w:szCs w:val="24"/>
          <w:highlight w:val="none"/>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；邮箱：</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spacing w:line="360" w:lineRule="auto"/>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本条第一款约定的上述送达地址和联系方式有变更的，双方应在变更后的二日内书面通知对方，另一方重新确认送达地址和联系方式。如未提前通知的，视为未变更，相应法律后果自行承担，本条第一款约定的送达地址和联系方式仍视为有效送达地址和联系方式。</w:t>
      </w:r>
    </w:p>
    <w:p>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、任何文件、通知及相关法律文书，只要按照本条第一款约定的任一联系方式发送，即应视作在下列日期被送达</w:t>
      </w:r>
      <w:r>
        <w:rPr>
          <w:rFonts w:ascii="宋体" w:hAnsi="宋体" w:cs="宋体"/>
          <w:sz w:val="24"/>
          <w:szCs w:val="24"/>
          <w:highlight w:val="none"/>
        </w:rPr>
        <w:t xml:space="preserve">: </w:t>
      </w:r>
    </w:p>
    <w:p>
      <w:pPr>
        <w:spacing w:line="360" w:lineRule="auto"/>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）当面交付文件的，在交付之时视为送达；一方拒收的，另一方有权采取拍照、录像方式记录送达过程，并将文书留置，亦视为送达。</w:t>
      </w:r>
    </w:p>
    <w:p>
      <w:pPr>
        <w:spacing w:line="360" w:lineRule="auto"/>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）邮寄（包括特快专递、平信邮寄、挂号邮寄），以邮寄签收之日视为送达日；一方拒收或邮件退回的，以拒收或邮件开始退回之日视为送达。</w:t>
      </w:r>
    </w:p>
    <w:p>
      <w:pPr>
        <w:spacing w:line="360" w:lineRule="auto"/>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）电子邮件、手机短信、微信、</w:t>
      </w:r>
      <w:r>
        <w:rPr>
          <w:rFonts w:ascii="宋体" w:hAnsi="宋体" w:cs="宋体"/>
          <w:sz w:val="24"/>
          <w:szCs w:val="24"/>
          <w:highlight w:val="none"/>
        </w:rPr>
        <w:t xml:space="preserve">QQ </w:t>
      </w:r>
      <w:r>
        <w:rPr>
          <w:rFonts w:hint="eastAsia" w:ascii="宋体" w:hAnsi="宋体" w:cs="宋体"/>
          <w:sz w:val="24"/>
          <w:szCs w:val="24"/>
          <w:highlight w:val="none"/>
        </w:rPr>
        <w:t>或其他电子通讯地址，以发送之日视为送达日。</w:t>
      </w:r>
    </w:p>
    <w:p>
      <w:pPr>
        <w:spacing w:line="360" w:lineRule="auto"/>
        <w:ind w:firstLine="480" w:firstLineChars="200"/>
        <w:rPr>
          <w:rFonts w:ascii="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双方的单位公章、办公室印章、财务专用章、合同专用章、收发章、授权人签字、前台签字等均是双方通讯联系、法律文书接收、信函往来的有效送达印章、签字。本条款上述印章签字用途仅适用于通知送达，签章仅是视为收到文书信函，不视为对文书信函的内容或主张进行确认。</w:t>
      </w:r>
    </w:p>
    <w:p>
      <w:pPr>
        <w:spacing w:line="400" w:lineRule="atLeast"/>
        <w:ind w:firstLine="480" w:firstLineChars="200"/>
        <w:rPr>
          <w:b/>
          <w:bCs/>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、本条约定为合同中独立存在的条款，不受本合同及合同其他条款效力的影响。</w:t>
      </w:r>
    </w:p>
    <w:p>
      <w:pPr>
        <w:spacing w:line="400" w:lineRule="atLeast"/>
        <w:rPr>
          <w:rFonts w:ascii="宋体"/>
          <w:b/>
          <w:bCs/>
          <w:sz w:val="24"/>
          <w:szCs w:val="24"/>
          <w:highlight w:val="none"/>
        </w:rPr>
      </w:pPr>
      <w:r>
        <w:rPr>
          <w:rFonts w:hint="eastAsia" w:ascii="宋体" w:hAnsi="宋体" w:cs="宋体"/>
          <w:b/>
          <w:bCs/>
          <w:sz w:val="24"/>
          <w:szCs w:val="24"/>
          <w:highlight w:val="none"/>
        </w:rPr>
        <w:t>第十五条其它事项</w:t>
      </w:r>
    </w:p>
    <w:p>
      <w:pPr>
        <w:spacing w:line="360" w:lineRule="auto"/>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、合同一式肆份，双方各执贰份，具有同等法律效力。</w:t>
      </w:r>
    </w:p>
    <w:p>
      <w:pPr>
        <w:spacing w:line="360" w:lineRule="auto"/>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、本合同双方签字并盖章后即生效。</w:t>
      </w:r>
    </w:p>
    <w:p>
      <w:pPr>
        <w:spacing w:line="360" w:lineRule="auto"/>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、廉洁合作协议作为本合同的附件，与本合同具有同等法律效力。甲方或乙方一旦发现任何一方或者其工作人员违反廉洁合作协议可以向甲方审计监察部举报，举报电话：</w:t>
      </w:r>
      <w:r>
        <w:rPr>
          <w:rFonts w:ascii="宋体" w:hAnsi="宋体" w:cs="宋体"/>
          <w:sz w:val="24"/>
          <w:szCs w:val="24"/>
          <w:highlight w:val="none"/>
        </w:rPr>
        <w:t>0755-26788571</w:t>
      </w:r>
      <w:r>
        <w:rPr>
          <w:rFonts w:hint="eastAsia" w:ascii="宋体" w:hAnsi="宋体" w:cs="宋体"/>
          <w:sz w:val="24"/>
          <w:szCs w:val="24"/>
          <w:highlight w:val="none"/>
        </w:rPr>
        <w:t>转</w:t>
      </w:r>
      <w:r>
        <w:rPr>
          <w:rFonts w:ascii="宋体" w:hAnsi="宋体" w:cs="宋体"/>
          <w:sz w:val="24"/>
          <w:szCs w:val="24"/>
          <w:highlight w:val="none"/>
        </w:rPr>
        <w:t>5515</w:t>
      </w:r>
      <w:r>
        <w:rPr>
          <w:rFonts w:hint="eastAsia" w:ascii="宋体" w:hAnsi="宋体" w:cs="宋体"/>
          <w:sz w:val="24"/>
          <w:szCs w:val="24"/>
          <w:highlight w:val="none"/>
        </w:rPr>
        <w:t>。</w:t>
      </w:r>
    </w:p>
    <w:p>
      <w:pPr>
        <w:spacing w:line="360" w:lineRule="auto"/>
        <w:rPr>
          <w:rFonts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、甲方提供的工艺图和订购单、E-mail为合同附件，与本合同具有同等法律效力。</w:t>
      </w:r>
    </w:p>
    <w:p>
      <w:pPr>
        <w:spacing w:line="360" w:lineRule="auto"/>
        <w:rPr>
          <w:rFonts w:ascii="宋体"/>
          <w:sz w:val="24"/>
          <w:szCs w:val="24"/>
          <w:highlight w:val="none"/>
        </w:rPr>
      </w:pPr>
      <w:r>
        <w:rPr>
          <w:rFonts w:ascii="宋体" w:hAnsi="宋体" w:cs="宋体"/>
          <w:color w:val="000000"/>
          <w:sz w:val="24"/>
          <w:szCs w:val="24"/>
          <w:highlight w:val="none"/>
        </w:rPr>
        <w:t>5</w:t>
      </w:r>
      <w:r>
        <w:rPr>
          <w:rFonts w:hint="eastAsia" w:ascii="宋体" w:hAnsi="宋体" w:cs="宋体"/>
          <w:color w:val="000000"/>
          <w:sz w:val="24"/>
          <w:szCs w:val="24"/>
          <w:highlight w:val="none"/>
        </w:rPr>
        <w:t>、</w:t>
      </w:r>
      <w:r>
        <w:rPr>
          <w:rFonts w:hint="eastAsia" w:ascii="宋体" w:hAnsi="宋体" w:cs="宋体"/>
          <w:sz w:val="24"/>
          <w:szCs w:val="24"/>
          <w:highlight w:val="none"/>
        </w:rPr>
        <w:t>甲、乙双方确认任何对合同条款的实质性变更应当以正式书面的补充协议并加盖双方公章或合同章为唯一标准，前述实质性变更即指包括但不限于产品价格（包括单价）、数量（根据本合同第一条，第</w:t>
      </w:r>
      <w:r>
        <w:rPr>
          <w:rFonts w:ascii="宋体" w:hAnsi="宋体" w:cs="宋体"/>
          <w:sz w:val="24"/>
          <w:szCs w:val="24"/>
          <w:highlight w:val="none"/>
        </w:rPr>
        <w:t>4</w:t>
      </w:r>
      <w:r>
        <w:rPr>
          <w:rFonts w:hint="eastAsia" w:ascii="宋体" w:hAnsi="宋体" w:cs="宋体"/>
          <w:sz w:val="24"/>
          <w:szCs w:val="24"/>
          <w:highlight w:val="none"/>
        </w:rPr>
        <w:t>项执行）、质量标准、验收标准、结算付款方式、违约责任、争议管辖等。任何一方通过送货单、收货单、对账单、结算单、往来函件、电子邮件等方式擅自对合同条款进行实质性变更的均不能产生法律效力。</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6、合同签订日期为：</w:t>
      </w:r>
      <w:r>
        <w:rPr>
          <w:rFonts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日</w:t>
      </w:r>
      <w:r>
        <w:rPr>
          <w:rFonts w:hint="eastAsia" w:ascii="宋体" w:hAnsi="宋体" w:cs="宋体"/>
          <w:sz w:val="24"/>
          <w:szCs w:val="24"/>
          <w:highlight w:val="none"/>
        </w:rPr>
        <w:t>。双方履行完合同全部条款后合同自动终止。</w:t>
      </w: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4"/>
        <w:tblW w:w="945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80" w:type="dxa"/>
            <w:noWrap/>
          </w:tcPr>
          <w:p>
            <w:pPr>
              <w:spacing w:line="400" w:lineRule="exact"/>
              <w:jc w:val="center"/>
              <w:rPr>
                <w:rFonts w:ascii="宋体"/>
                <w:sz w:val="24"/>
                <w:szCs w:val="24"/>
                <w:highlight w:val="none"/>
              </w:rPr>
            </w:pPr>
            <w:r>
              <w:rPr>
                <w:rFonts w:hint="eastAsia" w:ascii="宋体" w:hAnsi="宋体" w:cs="宋体"/>
                <w:sz w:val="24"/>
                <w:szCs w:val="24"/>
                <w:highlight w:val="none"/>
              </w:rPr>
              <w:t>甲方</w:t>
            </w:r>
          </w:p>
          <w:p>
            <w:pPr>
              <w:spacing w:line="400" w:lineRule="exact"/>
              <w:ind w:left="-16" w:right="-107" w:hanging="91"/>
              <w:rPr>
                <w:rFonts w:hint="eastAsia" w:ascii="宋体" w:eastAsia="宋体"/>
                <w:sz w:val="24"/>
                <w:szCs w:val="24"/>
                <w:highlight w:val="none"/>
                <w:lang w:eastAsia="zh-CN"/>
              </w:rPr>
            </w:pPr>
            <w:r>
              <w:rPr>
                <w:rFonts w:hint="eastAsia" w:ascii="宋体" w:hAnsi="宋体" w:cs="宋体"/>
                <w:sz w:val="24"/>
                <w:szCs w:val="24"/>
                <w:highlight w:val="none"/>
              </w:rPr>
              <w:t>单位名称：</w:t>
            </w:r>
            <w:r>
              <w:rPr>
                <w:rFonts w:hint="eastAsia" w:ascii="宋体" w:hAnsi="宋体" w:cs="宋体"/>
                <w:sz w:val="24"/>
                <w:szCs w:val="24"/>
                <w:highlight w:val="none"/>
                <w:lang w:eastAsia="zh-CN"/>
              </w:rPr>
              <w:t>方大新材料（江西）有限公司</w:t>
            </w:r>
          </w:p>
          <w:p>
            <w:pPr>
              <w:pStyle w:val="3"/>
              <w:ind w:left="-16" w:right="-107" w:hanging="91"/>
              <w:rPr>
                <w:rFonts w:hint="default" w:ascii="宋体" w:eastAsia="宋体"/>
                <w:sz w:val="24"/>
                <w:szCs w:val="24"/>
                <w:highlight w:val="none"/>
                <w:lang w:val="en-US" w:eastAsia="zh-CN"/>
              </w:rPr>
            </w:pPr>
            <w:r>
              <w:rPr>
                <w:rFonts w:hint="eastAsia" w:ascii="宋体" w:hAnsi="宋体" w:cs="宋体"/>
                <w:sz w:val="24"/>
                <w:szCs w:val="24"/>
                <w:highlight w:val="none"/>
              </w:rPr>
              <w:t>单位地址：</w:t>
            </w:r>
            <w:r>
              <w:rPr>
                <w:rFonts w:hint="eastAsia" w:ascii="宋体" w:hAnsi="宋体" w:cs="宋体"/>
                <w:sz w:val="24"/>
                <w:szCs w:val="24"/>
                <w:highlight w:val="none"/>
                <w:lang w:eastAsia="zh-CN"/>
              </w:rPr>
              <w:t>江西省南昌市高新开发区高新大道</w:t>
            </w:r>
            <w:r>
              <w:rPr>
                <w:rFonts w:hint="eastAsia" w:ascii="宋体" w:hAnsi="宋体" w:cs="宋体"/>
                <w:sz w:val="24"/>
                <w:szCs w:val="24"/>
                <w:highlight w:val="none"/>
                <w:lang w:val="en-US" w:eastAsia="zh-CN"/>
              </w:rPr>
              <w:t>1189号方大科技园</w:t>
            </w:r>
          </w:p>
          <w:p>
            <w:pPr>
              <w:spacing w:line="400" w:lineRule="exact"/>
              <w:ind w:hanging="108"/>
              <w:rPr>
                <w:rFonts w:hint="default" w:ascii="宋体" w:eastAsia="宋体"/>
                <w:sz w:val="24"/>
                <w:szCs w:val="24"/>
                <w:highlight w:val="none"/>
                <w:lang w:val="en-US" w:eastAsia="zh-CN"/>
              </w:rPr>
            </w:pPr>
            <w:r>
              <w:rPr>
                <w:rFonts w:hint="eastAsia" w:ascii="宋体" w:hAnsi="宋体" w:cs="宋体"/>
                <w:sz w:val="24"/>
                <w:szCs w:val="24"/>
                <w:highlight w:val="none"/>
              </w:rPr>
              <w:t>邮政编码：</w:t>
            </w:r>
            <w:r>
              <w:rPr>
                <w:rFonts w:hint="eastAsia" w:ascii="宋体" w:hAnsi="宋体" w:cs="宋体"/>
                <w:sz w:val="24"/>
                <w:szCs w:val="24"/>
                <w:highlight w:val="none"/>
                <w:lang w:val="en-US" w:eastAsia="zh-CN"/>
              </w:rPr>
              <w:t>330096</w:t>
            </w:r>
          </w:p>
          <w:p>
            <w:pPr>
              <w:spacing w:line="400" w:lineRule="exact"/>
              <w:rPr>
                <w:rFonts w:ascii="宋体"/>
                <w:sz w:val="24"/>
                <w:szCs w:val="24"/>
                <w:highlight w:val="none"/>
              </w:rPr>
            </w:pPr>
            <w:r>
              <w:rPr>
                <w:rFonts w:hint="eastAsia" w:ascii="宋体" w:hAnsi="宋体" w:cs="宋体"/>
                <w:sz w:val="24"/>
                <w:szCs w:val="24"/>
                <w:highlight w:val="none"/>
              </w:rPr>
              <w:t>法定代理：</w:t>
            </w:r>
          </w:p>
          <w:p>
            <w:pPr>
              <w:spacing w:line="400" w:lineRule="exact"/>
              <w:rPr>
                <w:rFonts w:ascii="宋体"/>
                <w:sz w:val="24"/>
                <w:szCs w:val="24"/>
                <w:highlight w:val="none"/>
              </w:rPr>
            </w:pPr>
            <w:r>
              <w:rPr>
                <w:rFonts w:hint="eastAsia" w:ascii="宋体" w:hAnsi="宋体" w:cs="宋体"/>
                <w:sz w:val="24"/>
                <w:szCs w:val="24"/>
                <w:highlight w:val="none"/>
              </w:rPr>
              <w:t>委托代理：</w:t>
            </w:r>
          </w:p>
          <w:p>
            <w:pPr>
              <w:spacing w:line="400" w:lineRule="exact"/>
              <w:rPr>
                <w:rFonts w:hint="default" w:ascii="宋体" w:eastAsia="宋体"/>
                <w:sz w:val="24"/>
                <w:szCs w:val="24"/>
                <w:highlight w:val="none"/>
                <w:lang w:val="en-US" w:eastAsia="zh-CN"/>
              </w:rPr>
            </w:pPr>
            <w:r>
              <w:rPr>
                <w:rFonts w:hint="eastAsia" w:ascii="宋体" w:hAnsi="宋体" w:cs="宋体"/>
                <w:sz w:val="24"/>
                <w:szCs w:val="24"/>
                <w:highlight w:val="none"/>
              </w:rPr>
              <w:t>电话：</w:t>
            </w:r>
            <w:r>
              <w:rPr>
                <w:rFonts w:hint="eastAsia" w:ascii="宋体" w:hAnsi="宋体" w:cs="宋体"/>
                <w:sz w:val="24"/>
                <w:szCs w:val="24"/>
                <w:highlight w:val="none"/>
                <w:lang w:val="en-US" w:eastAsia="zh-CN"/>
              </w:rPr>
              <w:t>0791-88132397</w:t>
            </w:r>
          </w:p>
          <w:p>
            <w:pPr>
              <w:spacing w:line="400" w:lineRule="exact"/>
              <w:rPr>
                <w:rFonts w:hint="default" w:ascii="宋体" w:eastAsia="宋体"/>
                <w:sz w:val="24"/>
                <w:szCs w:val="24"/>
                <w:highlight w:val="none"/>
                <w:lang w:val="en-US" w:eastAsia="zh-CN"/>
              </w:rPr>
            </w:pPr>
            <w:r>
              <w:rPr>
                <w:rFonts w:hint="eastAsia" w:ascii="宋体" w:hAnsi="宋体" w:cs="宋体"/>
                <w:sz w:val="24"/>
                <w:szCs w:val="24"/>
                <w:highlight w:val="none"/>
              </w:rPr>
              <w:t>税号：</w:t>
            </w:r>
            <w:r>
              <w:rPr>
                <w:rFonts w:hint="eastAsia" w:ascii="宋体" w:hAnsi="宋体" w:cs="宋体"/>
                <w:sz w:val="22"/>
                <w:szCs w:val="22"/>
                <w:highlight w:val="none"/>
                <w:lang w:val="en-US" w:eastAsia="zh-CN"/>
              </w:rPr>
              <w:t>913601007485261173</w:t>
            </w:r>
          </w:p>
          <w:p>
            <w:pPr>
              <w:spacing w:line="400" w:lineRule="exact"/>
              <w:rPr>
                <w:rFonts w:hint="eastAsia" w:ascii="宋体" w:eastAsia="宋体"/>
                <w:sz w:val="24"/>
                <w:szCs w:val="24"/>
                <w:highlight w:val="none"/>
                <w:lang w:eastAsia="zh-CN"/>
              </w:rPr>
            </w:pPr>
            <w:r>
              <w:rPr>
                <w:rFonts w:hint="eastAsia" w:ascii="宋体" w:hAnsi="宋体" w:cs="宋体"/>
                <w:sz w:val="24"/>
                <w:szCs w:val="24"/>
                <w:highlight w:val="none"/>
              </w:rPr>
              <w:t>开户银行：</w:t>
            </w:r>
            <w:r>
              <w:rPr>
                <w:rFonts w:hint="eastAsia" w:ascii="宋体" w:hAnsi="宋体" w:cs="宋体"/>
                <w:sz w:val="24"/>
                <w:szCs w:val="24"/>
                <w:highlight w:val="none"/>
                <w:lang w:eastAsia="zh-CN"/>
              </w:rPr>
              <w:t>交行南昌市北京东路支行</w:t>
            </w:r>
          </w:p>
          <w:p>
            <w:pPr>
              <w:spacing w:line="400" w:lineRule="exact"/>
              <w:rPr>
                <w:rFonts w:hint="default" w:ascii="宋体" w:eastAsia="宋体"/>
                <w:sz w:val="24"/>
                <w:szCs w:val="24"/>
                <w:highlight w:val="none"/>
                <w:lang w:val="en-US" w:eastAsia="zh-CN"/>
              </w:rPr>
            </w:pPr>
            <w:r>
              <w:rPr>
                <w:rFonts w:hint="eastAsia" w:ascii="宋体" w:hAnsi="宋体" w:cs="宋体"/>
                <w:sz w:val="24"/>
                <w:szCs w:val="24"/>
                <w:highlight w:val="none"/>
              </w:rPr>
              <w:t>账号：</w:t>
            </w:r>
            <w:r>
              <w:rPr>
                <w:rFonts w:hint="eastAsia" w:ascii="宋体" w:hAnsi="宋体" w:cs="宋体"/>
                <w:sz w:val="24"/>
                <w:szCs w:val="24"/>
                <w:highlight w:val="none"/>
                <w:lang w:val="en-US" w:eastAsia="zh-CN"/>
              </w:rPr>
              <w:t>361606000018000293796</w:t>
            </w:r>
          </w:p>
        </w:tc>
        <w:tc>
          <w:tcPr>
            <w:tcW w:w="4779" w:type="dxa"/>
            <w:noWrap/>
          </w:tcPr>
          <w:p>
            <w:pPr>
              <w:spacing w:line="400" w:lineRule="exact"/>
              <w:jc w:val="center"/>
              <w:rPr>
                <w:rFonts w:ascii="宋体"/>
                <w:sz w:val="24"/>
                <w:szCs w:val="24"/>
                <w:highlight w:val="none"/>
              </w:rPr>
            </w:pPr>
            <w:r>
              <w:rPr>
                <w:rFonts w:hint="eastAsia" w:ascii="宋体" w:hAnsi="宋体" w:cs="宋体"/>
                <w:sz w:val="24"/>
                <w:szCs w:val="24"/>
                <w:highlight w:val="none"/>
              </w:rPr>
              <w:t>乙方</w:t>
            </w:r>
          </w:p>
          <w:p>
            <w:pPr>
              <w:spacing w:line="400" w:lineRule="exact"/>
              <w:ind w:right="-214"/>
              <w:rPr>
                <w:rFonts w:hint="default" w:ascii="宋体" w:eastAsia="宋体"/>
                <w:sz w:val="24"/>
                <w:szCs w:val="24"/>
                <w:highlight w:val="none"/>
                <w:lang w:val="en-US" w:eastAsia="zh-CN"/>
              </w:rPr>
            </w:pPr>
            <w:r>
              <w:rPr>
                <w:rFonts w:hint="eastAsia" w:ascii="宋体" w:hAnsi="宋体" w:cs="宋体"/>
                <w:sz w:val="24"/>
                <w:szCs w:val="24"/>
                <w:highlight w:val="none"/>
              </w:rPr>
              <w:t>单位名称：</w:t>
            </w:r>
          </w:p>
          <w:p>
            <w:pPr>
              <w:spacing w:line="400" w:lineRule="exact"/>
              <w:ind w:left="1200" w:hanging="1200"/>
              <w:jc w:val="both"/>
              <w:rPr>
                <w:rFonts w:hint="eastAsia" w:ascii="宋体" w:hAnsi="宋体" w:cs="宋体"/>
                <w:sz w:val="24"/>
                <w:szCs w:val="24"/>
                <w:highlight w:val="none"/>
              </w:rPr>
            </w:pPr>
            <w:r>
              <w:rPr>
                <w:rFonts w:hint="eastAsia" w:ascii="宋体" w:hAnsi="宋体" w:cs="宋体"/>
                <w:sz w:val="24"/>
                <w:szCs w:val="24"/>
                <w:highlight w:val="none"/>
              </w:rPr>
              <w:t>单位地址：</w:t>
            </w:r>
          </w:p>
          <w:p>
            <w:pPr>
              <w:spacing w:line="400" w:lineRule="exact"/>
              <w:ind w:left="1200" w:hanging="1200"/>
              <w:rPr>
                <w:rFonts w:hint="default" w:ascii="宋体" w:eastAsia="宋体"/>
                <w:sz w:val="24"/>
                <w:szCs w:val="24"/>
                <w:highlight w:val="none"/>
                <w:lang w:val="en-US" w:eastAsia="zh-CN"/>
              </w:rPr>
            </w:pPr>
            <w:r>
              <w:rPr>
                <w:rFonts w:hint="eastAsia" w:ascii="宋体" w:hAnsi="宋体" w:cs="宋体"/>
                <w:sz w:val="24"/>
                <w:szCs w:val="24"/>
                <w:highlight w:val="none"/>
              </w:rPr>
              <w:t>邮政编码：</w:t>
            </w:r>
          </w:p>
          <w:p>
            <w:pPr>
              <w:spacing w:line="400" w:lineRule="exact"/>
              <w:rPr>
                <w:rFonts w:hint="default" w:ascii="宋体" w:eastAsia="宋体"/>
                <w:sz w:val="24"/>
                <w:szCs w:val="24"/>
                <w:highlight w:val="none"/>
                <w:lang w:val="en-US" w:eastAsia="zh-CN"/>
              </w:rPr>
            </w:pPr>
            <w:r>
              <w:rPr>
                <w:rFonts w:hint="eastAsia" w:ascii="宋体" w:hAnsi="宋体" w:cs="宋体"/>
                <w:sz w:val="24"/>
                <w:szCs w:val="24"/>
                <w:highlight w:val="none"/>
              </w:rPr>
              <w:t>法定代理：</w:t>
            </w:r>
          </w:p>
          <w:p>
            <w:pPr>
              <w:spacing w:line="400" w:lineRule="exact"/>
              <w:rPr>
                <w:rFonts w:hint="eastAsia" w:ascii="宋体" w:eastAsia="宋体"/>
                <w:sz w:val="24"/>
                <w:szCs w:val="24"/>
                <w:highlight w:val="none"/>
                <w:lang w:val="en-US" w:eastAsia="zh-CN"/>
              </w:rPr>
            </w:pPr>
            <w:r>
              <w:rPr>
                <w:rFonts w:hint="eastAsia" w:ascii="宋体" w:hAnsi="宋体" w:cs="宋体"/>
                <w:sz w:val="24"/>
                <w:szCs w:val="24"/>
                <w:highlight w:val="none"/>
              </w:rPr>
              <w:t>委托代理：</w:t>
            </w:r>
          </w:p>
          <w:p>
            <w:pPr>
              <w:spacing w:line="400" w:lineRule="exact"/>
              <w:rPr>
                <w:rFonts w:hint="default" w:ascii="宋体" w:eastAsia="宋体"/>
                <w:sz w:val="24"/>
                <w:szCs w:val="24"/>
                <w:highlight w:val="none"/>
                <w:lang w:val="en-US" w:eastAsia="zh-CN"/>
              </w:rPr>
            </w:pPr>
            <w:r>
              <w:rPr>
                <w:rFonts w:hint="eastAsia" w:ascii="宋体" w:hAnsi="宋体" w:cs="宋体"/>
                <w:sz w:val="24"/>
                <w:szCs w:val="24"/>
                <w:highlight w:val="none"/>
              </w:rPr>
              <w:t>电话：</w:t>
            </w:r>
          </w:p>
          <w:p>
            <w:pPr>
              <w:spacing w:line="40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税号：</w:t>
            </w:r>
          </w:p>
          <w:p>
            <w:pPr>
              <w:spacing w:line="400" w:lineRule="exact"/>
              <w:rPr>
                <w:rFonts w:hint="default" w:ascii="宋体" w:eastAsia="宋体"/>
                <w:sz w:val="22"/>
                <w:szCs w:val="22"/>
                <w:highlight w:val="none"/>
                <w:lang w:val="en-US" w:eastAsia="zh-CN"/>
              </w:rPr>
            </w:pPr>
            <w:r>
              <w:rPr>
                <w:rFonts w:hint="eastAsia" w:ascii="宋体" w:hAnsi="宋体" w:cs="宋体"/>
                <w:sz w:val="22"/>
                <w:szCs w:val="22"/>
                <w:highlight w:val="none"/>
              </w:rPr>
              <w:t>开户银行：</w:t>
            </w:r>
          </w:p>
          <w:p>
            <w:pPr>
              <w:spacing w:line="400" w:lineRule="exact"/>
              <w:rPr>
                <w:rFonts w:ascii="宋体"/>
                <w:sz w:val="24"/>
                <w:szCs w:val="24"/>
                <w:highlight w:val="none"/>
              </w:rPr>
            </w:pPr>
            <w:r>
              <w:rPr>
                <w:rFonts w:hint="eastAsia" w:ascii="宋体" w:hAnsi="宋体" w:cs="宋体"/>
                <w:sz w:val="24"/>
                <w:szCs w:val="24"/>
                <w:highlight w:val="none"/>
              </w:rPr>
              <w:t>账号：</w:t>
            </w:r>
          </w:p>
        </w:tc>
      </w:tr>
    </w:tbl>
    <w:p>
      <w:pPr>
        <w:pStyle w:val="2"/>
        <w:rPr>
          <w:rFonts w:hint="eastAsia" w:ascii="宋体" w:hAnsi="宋体" w:cs="宋体"/>
          <w:sz w:val="24"/>
          <w:szCs w:val="24"/>
          <w:highlight w:val="none"/>
        </w:rPr>
      </w:pPr>
    </w:p>
    <w:p>
      <w:pPr>
        <w:pStyle w:val="2"/>
        <w:rPr>
          <w:lang w:val="zh-CN"/>
        </w:rPr>
      </w:pPr>
    </w:p>
    <w:p>
      <w:pPr>
        <w:pStyle w:val="2"/>
      </w:pPr>
    </w:p>
    <w:p>
      <w:pPr>
        <w:pStyle w:val="2"/>
      </w:pPr>
    </w:p>
    <w:p>
      <w:pPr>
        <w:pStyle w:val="2"/>
        <w:ind w:firstLine="480" w:firstLineChars="200"/>
        <w:rPr>
          <w:rFonts w:hint="eastAsia" w:ascii="宋体" w:hAnsi="宋体" w:cs="宋体"/>
          <w:sz w:val="24"/>
          <w:szCs w:val="24"/>
          <w:highlight w:val="none"/>
        </w:rPr>
      </w:pPr>
    </w:p>
    <w:p>
      <w:pPr>
        <w:pStyle w:val="2"/>
      </w:pPr>
    </w:p>
    <w:p>
      <w:pPr>
        <w:pStyle w:val="2"/>
      </w:pPr>
    </w:p>
    <w:p>
      <w:pPr>
        <w:pStyle w:val="2"/>
      </w:pPr>
    </w:p>
    <w:p>
      <w:pPr>
        <w:pStyle w:val="2"/>
      </w:pPr>
    </w:p>
    <w:p>
      <w:pPr>
        <w:pStyle w:val="2"/>
        <w:numPr>
          <w:ilvl w:val="0"/>
          <w:numId w:val="0"/>
        </w:numPr>
        <w:spacing w:line="360" w:lineRule="auto"/>
        <w:ind w:leftChars="200"/>
        <w:jc w:val="both"/>
        <w:rPr>
          <w:rFonts w:hint="eastAsia" w:ascii="宋体" w:hAnsi="宋体" w:cs="宋体"/>
          <w:color w:val="000000"/>
          <w:sz w:val="24"/>
          <w:szCs w:val="24"/>
          <w:highlight w:val="none"/>
          <w:lang w:eastAsia="zh-CN"/>
        </w:rPr>
      </w:pPr>
    </w:p>
    <w:p>
      <w:pPr>
        <w:pStyle w:val="2"/>
        <w:numPr>
          <w:ilvl w:val="0"/>
          <w:numId w:val="0"/>
        </w:numPr>
        <w:spacing w:line="360" w:lineRule="auto"/>
        <w:ind w:leftChars="0"/>
        <w:jc w:val="both"/>
        <w:rPr>
          <w:rFonts w:hint="eastAsia"/>
          <w:b/>
          <w:sz w:val="32"/>
          <w:lang w:eastAsia="zh-CN"/>
        </w:rPr>
      </w:pPr>
    </w:p>
    <w:p>
      <w:pPr>
        <w:pStyle w:val="2"/>
        <w:numPr>
          <w:ilvl w:val="0"/>
          <w:numId w:val="0"/>
        </w:numPr>
        <w:spacing w:line="360" w:lineRule="auto"/>
        <w:ind w:leftChars="0" w:firstLine="480" w:firstLineChars="200"/>
        <w:rPr>
          <w:rFonts w:hint="eastAsia" w:eastAsia="宋体"/>
          <w:sz w:val="24"/>
          <w:lang w:eastAsia="zh-CN"/>
        </w:rPr>
      </w:pPr>
    </w:p>
    <w:p>
      <w:pPr>
        <w:pStyle w:val="2"/>
        <w:numPr>
          <w:ilvl w:val="0"/>
          <w:numId w:val="0"/>
        </w:numPr>
        <w:spacing w:line="360" w:lineRule="auto"/>
        <w:jc w:val="both"/>
        <w:rPr>
          <w:rFonts w:hint="eastAsia"/>
          <w:b/>
          <w:sz w:val="32"/>
          <w:lang w:eastAsia="zh-CN"/>
        </w:rPr>
      </w:pP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C83D9"/>
    <w:multiLevelType w:val="singleLevel"/>
    <w:tmpl w:val="B63C83D9"/>
    <w:lvl w:ilvl="0" w:tentative="0">
      <w:start w:val="1"/>
      <w:numFmt w:val="decimal"/>
      <w:suff w:val="nothing"/>
      <w:lvlText w:val="%1、"/>
      <w:lvlJc w:val="left"/>
    </w:lvl>
  </w:abstractNum>
  <w:abstractNum w:abstractNumId="1">
    <w:nsid w:val="C1C209A4"/>
    <w:multiLevelType w:val="singleLevel"/>
    <w:tmpl w:val="C1C209A4"/>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japaneseCounting"/>
      <w:lvlText w:val="第%1条"/>
      <w:lvlJc w:val="left"/>
      <w:pPr>
        <w:ind w:left="840" w:hanging="84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8"/>
    <w:multiLevelType w:val="multilevel"/>
    <w:tmpl w:val="00000008"/>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B607D8"/>
    <w:multiLevelType w:val="singleLevel"/>
    <w:tmpl w:val="09B607D8"/>
    <w:lvl w:ilvl="0" w:tentative="0">
      <w:start w:val="2"/>
      <w:numFmt w:val="decimal"/>
      <w:suff w:val="nothing"/>
      <w:lvlText w:val="%1、"/>
      <w:lvlJc w:val="left"/>
    </w:lvl>
  </w:abstractNum>
  <w:abstractNum w:abstractNumId="5">
    <w:nsid w:val="171D66E9"/>
    <w:multiLevelType w:val="singleLevel"/>
    <w:tmpl w:val="171D66E9"/>
    <w:lvl w:ilvl="0" w:tentative="0">
      <w:start w:val="2"/>
      <w:numFmt w:val="decimal"/>
      <w:suff w:val="nothing"/>
      <w:lvlText w:val="%1、"/>
      <w:lvlJc w:val="left"/>
    </w:lvl>
  </w:abstractNum>
  <w:abstractNum w:abstractNumId="6">
    <w:nsid w:val="595AE386"/>
    <w:multiLevelType w:val="singleLevel"/>
    <w:tmpl w:val="595AE386"/>
    <w:lvl w:ilvl="0" w:tentative="0">
      <w:start w:val="1"/>
      <w:numFmt w:val="decimal"/>
      <w:suff w:val="nothing"/>
      <w:lvlText w:val="%1、"/>
      <w:lvlJc w:val="left"/>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NTQyYTI1NzU0YjdiNjc4YTcyYzkyZGJiMjAwY2QifQ=="/>
  </w:docVars>
  <w:rsids>
    <w:rsidRoot w:val="5A193755"/>
    <w:rsid w:val="020B3950"/>
    <w:rsid w:val="02792E89"/>
    <w:rsid w:val="0CB77980"/>
    <w:rsid w:val="0EF53D54"/>
    <w:rsid w:val="0F07422A"/>
    <w:rsid w:val="1106049C"/>
    <w:rsid w:val="11710F5E"/>
    <w:rsid w:val="12287418"/>
    <w:rsid w:val="13F54014"/>
    <w:rsid w:val="15591A10"/>
    <w:rsid w:val="161A1780"/>
    <w:rsid w:val="165A23C2"/>
    <w:rsid w:val="1AE44DF4"/>
    <w:rsid w:val="1BBA6B95"/>
    <w:rsid w:val="1C1D0E67"/>
    <w:rsid w:val="22370394"/>
    <w:rsid w:val="23666254"/>
    <w:rsid w:val="239B39B6"/>
    <w:rsid w:val="24692D47"/>
    <w:rsid w:val="26A00F7F"/>
    <w:rsid w:val="2794642A"/>
    <w:rsid w:val="27B974C8"/>
    <w:rsid w:val="27CF6300"/>
    <w:rsid w:val="28B544AF"/>
    <w:rsid w:val="292A7243"/>
    <w:rsid w:val="2B08389D"/>
    <w:rsid w:val="2B6D2C85"/>
    <w:rsid w:val="2D604CF4"/>
    <w:rsid w:val="2E625944"/>
    <w:rsid w:val="2EB14078"/>
    <w:rsid w:val="2EB33241"/>
    <w:rsid w:val="32916F7F"/>
    <w:rsid w:val="351060BA"/>
    <w:rsid w:val="35A75ED9"/>
    <w:rsid w:val="362D0F19"/>
    <w:rsid w:val="382344C3"/>
    <w:rsid w:val="39F75BCE"/>
    <w:rsid w:val="3A6D6468"/>
    <w:rsid w:val="3D984F2A"/>
    <w:rsid w:val="3E1C766D"/>
    <w:rsid w:val="40816A75"/>
    <w:rsid w:val="40F60563"/>
    <w:rsid w:val="42844F4D"/>
    <w:rsid w:val="4D7452A1"/>
    <w:rsid w:val="51CD378B"/>
    <w:rsid w:val="51DA0E97"/>
    <w:rsid w:val="51F07A1B"/>
    <w:rsid w:val="54562BAE"/>
    <w:rsid w:val="5A193755"/>
    <w:rsid w:val="5A630FDF"/>
    <w:rsid w:val="5C923BE0"/>
    <w:rsid w:val="607249B2"/>
    <w:rsid w:val="652239B1"/>
    <w:rsid w:val="66D16504"/>
    <w:rsid w:val="67856FA6"/>
    <w:rsid w:val="6ADF73D3"/>
    <w:rsid w:val="6EE91963"/>
    <w:rsid w:val="742B5E12"/>
    <w:rsid w:val="754937FF"/>
    <w:rsid w:val="75AA52AA"/>
    <w:rsid w:val="76D24778"/>
    <w:rsid w:val="79E77180"/>
    <w:rsid w:val="7D766D25"/>
    <w:rsid w:val="7E97568E"/>
    <w:rsid w:val="7FA33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1"/>
    <w:qFormat/>
    <w:uiPriority w:val="0"/>
    <w:pPr>
      <w:jc w:val="both"/>
    </w:pPr>
    <w:rPr>
      <w:rFonts w:ascii="Times New Roman" w:hAnsi="Times New Roman" w:eastAsia="宋体" w:cs="Times New Roman"/>
      <w:kern w:val="2"/>
      <w:sz w:val="21"/>
      <w:szCs w:val="21"/>
      <w:lang w:val="en-US" w:eastAsia="zh-CN" w:bidi="ar-SA"/>
    </w:rPr>
  </w:style>
  <w:style w:type="paragraph" w:styleId="3">
    <w:name w:val="Body Text"/>
    <w:basedOn w:val="1"/>
    <w:qFormat/>
    <w:uiPriority w:val="99"/>
    <w:pPr>
      <w:spacing w:line="400" w:lineRule="exact"/>
    </w:pPr>
    <w:rPr>
      <w:sz w:val="28"/>
      <w:szCs w:val="28"/>
    </w:rPr>
  </w:style>
  <w:style w:type="character" w:customStyle="1" w:styleId="6">
    <w:name w:val="font21"/>
    <w:basedOn w:val="5"/>
    <w:uiPriority w:val="0"/>
    <w:rPr>
      <w:rFonts w:hint="eastAsia" w:ascii="仿宋" w:hAnsi="仿宋" w:eastAsia="仿宋" w:cs="仿宋"/>
      <w:color w:val="000000"/>
      <w:sz w:val="20"/>
      <w:szCs w:val="20"/>
      <w:u w:val="none"/>
    </w:rPr>
  </w:style>
  <w:style w:type="character" w:customStyle="1" w:styleId="7">
    <w:name w:val="font11"/>
    <w:basedOn w:val="5"/>
    <w:qFormat/>
    <w:uiPriority w:val="0"/>
    <w:rPr>
      <w:rFonts w:hint="eastAsia" w:ascii="仿宋" w:hAnsi="仿宋" w:eastAsia="仿宋" w:cs="仿宋"/>
      <w:color w:val="FF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10639</Words>
  <Characters>11571</Characters>
  <Lines>0</Lines>
  <Paragraphs>0</Paragraphs>
  <TotalTime>2</TotalTime>
  <ScaleCrop>false</ScaleCrop>
  <LinksUpToDate>false</LinksUpToDate>
  <CharactersWithSpaces>12457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2023-02-23T01:10:00Z</dcterms:created>
  <dc:creator>何雪凌</dc:creator>
  <cp:lastModifiedBy>Lenovo</cp:lastModifiedBy>
  <dcterms:modified xsi:type="dcterms:W3CDTF">2023-03-15T10:40:54Z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AB1522DA99FE43D39F6C41DF26B6F4E3</vt:lpwstr>
  </property>
</Properties>
</file>